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B2" w:rsidRDefault="001063B2" w:rsidP="00983181">
      <w:pPr>
        <w:pStyle w:val="Tekstpodstawowy2"/>
        <w:ind w:right="-286" w:firstLine="708"/>
        <w:rPr>
          <w:color w:val="000000"/>
          <w:szCs w:val="24"/>
        </w:rPr>
      </w:pPr>
    </w:p>
    <w:p w:rsidR="001063B2" w:rsidRPr="001063B2" w:rsidRDefault="001063B2" w:rsidP="001063B2">
      <w:pPr>
        <w:pStyle w:val="Tekstpodstawowy2"/>
        <w:tabs>
          <w:tab w:val="left" w:pos="4305"/>
        </w:tabs>
        <w:ind w:right="-286" w:firstLine="708"/>
        <w:jc w:val="center"/>
        <w:rPr>
          <w:b/>
          <w:color w:val="000000"/>
          <w:sz w:val="28"/>
          <w:szCs w:val="28"/>
        </w:rPr>
      </w:pPr>
      <w:r w:rsidRPr="001063B2">
        <w:rPr>
          <w:b/>
          <w:color w:val="000000"/>
          <w:sz w:val="28"/>
          <w:szCs w:val="28"/>
        </w:rPr>
        <w:t xml:space="preserve">WIELOLETNIA PROGNOZA FINANSOWA </w:t>
      </w:r>
    </w:p>
    <w:p w:rsidR="001063B2" w:rsidRPr="001063B2" w:rsidRDefault="001063B2" w:rsidP="001063B2">
      <w:pPr>
        <w:pStyle w:val="Tekstpodstawowy2"/>
        <w:tabs>
          <w:tab w:val="left" w:pos="4305"/>
        </w:tabs>
        <w:ind w:right="-286" w:firstLine="708"/>
        <w:jc w:val="center"/>
        <w:rPr>
          <w:b/>
          <w:color w:val="000000"/>
          <w:sz w:val="28"/>
          <w:szCs w:val="28"/>
        </w:rPr>
      </w:pPr>
      <w:r w:rsidRPr="001063B2">
        <w:rPr>
          <w:b/>
          <w:color w:val="000000"/>
          <w:sz w:val="28"/>
          <w:szCs w:val="28"/>
        </w:rPr>
        <w:t xml:space="preserve">GMINY NOWE MIASTO NAD PILICĄ </w:t>
      </w:r>
    </w:p>
    <w:p w:rsidR="001063B2" w:rsidRPr="001063B2" w:rsidRDefault="001063B2" w:rsidP="001063B2">
      <w:pPr>
        <w:pStyle w:val="Tekstpodstawowy2"/>
        <w:tabs>
          <w:tab w:val="left" w:pos="4305"/>
        </w:tabs>
        <w:ind w:right="-286" w:firstLine="708"/>
        <w:jc w:val="center"/>
        <w:rPr>
          <w:b/>
          <w:color w:val="000000"/>
          <w:sz w:val="28"/>
          <w:szCs w:val="28"/>
        </w:rPr>
      </w:pPr>
      <w:r w:rsidRPr="001063B2">
        <w:rPr>
          <w:b/>
          <w:color w:val="000000"/>
          <w:sz w:val="28"/>
          <w:szCs w:val="28"/>
        </w:rPr>
        <w:t xml:space="preserve">NA LATA </w:t>
      </w:r>
      <w:r w:rsidR="0030200F">
        <w:rPr>
          <w:b/>
          <w:color w:val="000000"/>
          <w:sz w:val="28"/>
          <w:szCs w:val="28"/>
        </w:rPr>
        <w:t>2014 - 2020</w:t>
      </w:r>
    </w:p>
    <w:p w:rsidR="001063B2" w:rsidRPr="001063B2" w:rsidRDefault="001063B2" w:rsidP="001063B2">
      <w:pPr>
        <w:pStyle w:val="Tekstpodstawowy2"/>
        <w:tabs>
          <w:tab w:val="left" w:pos="4305"/>
          <w:tab w:val="left" w:pos="4530"/>
        </w:tabs>
        <w:ind w:right="-286" w:firstLine="708"/>
        <w:jc w:val="left"/>
        <w:rPr>
          <w:b/>
          <w:color w:val="000000"/>
          <w:szCs w:val="24"/>
        </w:rPr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</w:p>
    <w:p w:rsidR="001063B2" w:rsidRDefault="001063B2" w:rsidP="001063B2">
      <w:pPr>
        <w:pStyle w:val="Tekstpodstawowy2"/>
        <w:tabs>
          <w:tab w:val="left" w:pos="4305"/>
        </w:tabs>
        <w:ind w:right="-286" w:firstLine="708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-   OBJAŚNIENIA PRZYJĘTYCH WARTOŚCI  -</w:t>
      </w:r>
    </w:p>
    <w:p w:rsidR="001063B2" w:rsidRDefault="001063B2" w:rsidP="001063B2">
      <w:pPr>
        <w:pStyle w:val="Tekstpodstawowy2"/>
        <w:ind w:right="-286"/>
        <w:rPr>
          <w:color w:val="000000"/>
          <w:szCs w:val="24"/>
        </w:rPr>
      </w:pPr>
    </w:p>
    <w:p w:rsidR="0084455E" w:rsidRDefault="008E1579" w:rsidP="001063B2">
      <w:pPr>
        <w:pStyle w:val="Tekstpodstawowy2"/>
        <w:ind w:right="-286"/>
        <w:rPr>
          <w:b/>
          <w:color w:val="000000"/>
          <w:szCs w:val="24"/>
        </w:rPr>
      </w:pPr>
      <w:r w:rsidRPr="008E1579">
        <w:rPr>
          <w:b/>
          <w:color w:val="000000"/>
          <w:szCs w:val="24"/>
        </w:rPr>
        <w:t>I GŁÓWNE ZAŁOŻENIA PRZYJĘTE DO OPRACOWANIA WIELOLETNIEJ PROGNOZY FINANSOWEJ</w:t>
      </w:r>
    </w:p>
    <w:p w:rsidR="008E1579" w:rsidRPr="008E1579" w:rsidRDefault="008E1579" w:rsidP="001063B2">
      <w:pPr>
        <w:pStyle w:val="Tekstpodstawowy2"/>
        <w:ind w:right="-286"/>
        <w:rPr>
          <w:b/>
          <w:color w:val="000000"/>
          <w:szCs w:val="24"/>
        </w:rPr>
      </w:pPr>
    </w:p>
    <w:p w:rsidR="0084455E" w:rsidRDefault="0084455E" w:rsidP="0084455E">
      <w:pPr>
        <w:pStyle w:val="Tytu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Na podstawie art. 230 </w:t>
      </w:r>
      <w:r w:rsidRPr="0084455E">
        <w:rPr>
          <w:b w:val="0"/>
        </w:rPr>
        <w:t>ustawy z dnia 27 sierpnia 2009 r</w:t>
      </w:r>
      <w:r w:rsidR="008671B7">
        <w:rPr>
          <w:b w:val="0"/>
        </w:rPr>
        <w:t>oku</w:t>
      </w:r>
      <w:r w:rsidRPr="0084455E">
        <w:rPr>
          <w:b w:val="0"/>
        </w:rPr>
        <w:t xml:space="preserve"> o finansach publicznych </w:t>
      </w:r>
      <w:r>
        <w:rPr>
          <w:b w:val="0"/>
        </w:rPr>
        <w:t xml:space="preserve">          </w:t>
      </w:r>
      <w:r w:rsidRPr="0084455E">
        <w:rPr>
          <w:b w:val="0"/>
        </w:rPr>
        <w:t>(</w:t>
      </w:r>
      <w:r w:rsidR="0030200F" w:rsidRPr="0030200F">
        <w:rPr>
          <w:b w:val="0"/>
          <w:szCs w:val="24"/>
        </w:rPr>
        <w:t>Dz. U. z 2013, poz. 885 – j.t. ze zm.</w:t>
      </w:r>
      <w:r w:rsidRPr="0030200F">
        <w:rPr>
          <w:b w:val="0"/>
        </w:rPr>
        <w:t>)</w:t>
      </w:r>
      <w:r w:rsidRPr="0091226A">
        <w:t xml:space="preserve"> </w:t>
      </w:r>
      <w:r>
        <w:rPr>
          <w:b w:val="0"/>
        </w:rPr>
        <w:t>zobowiązuje się Burmistrza Miasta i Gminy w Nowym Mieście nad Pilicą do opracowania projektu uchwały w sprawie wieloletniej prognozy finansowej.</w:t>
      </w:r>
    </w:p>
    <w:p w:rsidR="008671B7" w:rsidRDefault="0084455E" w:rsidP="0084455E">
      <w:pPr>
        <w:pStyle w:val="Tytu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Zgodnie z dyspozycją art. 226 ust. 1 pkt 7 powyżej cytowanej ustawy o finansach publicznych </w:t>
      </w:r>
      <w:r w:rsidR="008671B7">
        <w:rPr>
          <w:b w:val="0"/>
        </w:rPr>
        <w:t>wymaga się aby do projektu</w:t>
      </w:r>
      <w:r>
        <w:rPr>
          <w:b w:val="0"/>
        </w:rPr>
        <w:t xml:space="preserve"> uchwały w sprawie wieloletniej prognozy finansowej </w:t>
      </w:r>
      <w:r w:rsidR="008671B7">
        <w:rPr>
          <w:b w:val="0"/>
        </w:rPr>
        <w:t xml:space="preserve">załączyć objaśnienia przyjętych wartości. </w:t>
      </w:r>
    </w:p>
    <w:p w:rsidR="001063B2" w:rsidRPr="008671B7" w:rsidRDefault="0084455E" w:rsidP="008671B7">
      <w:pPr>
        <w:pStyle w:val="Tytu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Burmistrz przedkłada</w:t>
      </w:r>
      <w:r w:rsidR="008671B7">
        <w:rPr>
          <w:b w:val="0"/>
        </w:rPr>
        <w:t xml:space="preserve"> projekt uchwały w sprawie wieloletniej prognozy finansowej</w:t>
      </w:r>
      <w:r>
        <w:rPr>
          <w:b w:val="0"/>
        </w:rPr>
        <w:t xml:space="preserve"> Radzie Miejskiej w Nowym Mieście nad Pilicą </w:t>
      </w:r>
      <w:r w:rsidR="008671B7">
        <w:rPr>
          <w:b w:val="0"/>
        </w:rPr>
        <w:t>wraz z projektem uchwały budżetowej</w:t>
      </w:r>
      <w:r>
        <w:rPr>
          <w:b w:val="0"/>
        </w:rPr>
        <w:t xml:space="preserve"> oraz przesyła projekt </w:t>
      </w:r>
      <w:r w:rsidR="008671B7">
        <w:rPr>
          <w:b w:val="0"/>
        </w:rPr>
        <w:t xml:space="preserve">uchwały do wiadomości </w:t>
      </w:r>
      <w:r>
        <w:rPr>
          <w:b w:val="0"/>
        </w:rPr>
        <w:t>i zaopiniowania Regionalnej Izbie Obrachunkowej w Warszawie Zespół w Radomiu.</w:t>
      </w:r>
    </w:p>
    <w:p w:rsidR="0091226A" w:rsidRDefault="00D0797D" w:rsidP="001C0CA6">
      <w:pPr>
        <w:pStyle w:val="Tekstpodstawowy2"/>
        <w:ind w:right="-284"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Wieloletnia prognoza finansowa Gminy Nowe Miasto nad Pilicą obejmuje lata 2014 – 2020 co wynika z prognozy kwoty długu na okres zaciągniętych i planowanych do zaciągnięcia zobowiązań. </w:t>
      </w:r>
      <w:r w:rsidR="004D5A97">
        <w:rPr>
          <w:color w:val="000000"/>
          <w:szCs w:val="24"/>
        </w:rPr>
        <w:t>Wieloletnia prognoz</w:t>
      </w:r>
      <w:r w:rsidR="00E038BA">
        <w:rPr>
          <w:color w:val="000000"/>
          <w:szCs w:val="24"/>
        </w:rPr>
        <w:t xml:space="preserve">a finansowa </w:t>
      </w:r>
      <w:r w:rsidR="004D5A97">
        <w:rPr>
          <w:color w:val="000000"/>
          <w:szCs w:val="24"/>
        </w:rPr>
        <w:t>ma na celu przeprowadzenie oceny sytuacji finansowej Gminy Nowe Miasto nad Pilicą przez organy jednostki samorządu terytorialnego, jej mieszkańców, instytucje finansowe oraz organy nadzoru.</w:t>
      </w:r>
    </w:p>
    <w:p w:rsidR="004D5A97" w:rsidRDefault="004D5A97" w:rsidP="00983181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>Określenie poszczególnych kategorii dochodów i wydatków budżetowych obrazujących sytuację finansową w przyszłych latach pozwala na przeprowadzenie analizy możliwości działalności inwestycyjnych oraz ocenę zdolności kredytowych.</w:t>
      </w:r>
    </w:p>
    <w:p w:rsidR="00D0797D" w:rsidRDefault="00D0797D" w:rsidP="00983181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>Przy opracowaniu WPF oparto się na założeniach przyjętych przez Radę Ministrów dotyczących rozwoju gospodarczego Polski stanowiących podstawę do opracowania „Wieloletniego Planu Finansowego Państwa</w:t>
      </w:r>
      <w:r w:rsidR="000815DA">
        <w:rPr>
          <w:color w:val="000000"/>
          <w:szCs w:val="24"/>
        </w:rPr>
        <w:t xml:space="preserve"> na lata 2013 – 2016” oraz wytycznych Ministra Finansów:</w:t>
      </w:r>
    </w:p>
    <w:p w:rsidR="000815DA" w:rsidRDefault="000815DA" w:rsidP="000815DA">
      <w:pPr>
        <w:pStyle w:val="Tekstpodstawowy2"/>
        <w:numPr>
          <w:ilvl w:val="0"/>
          <w:numId w:val="12"/>
        </w:numPr>
        <w:ind w:right="-286"/>
        <w:rPr>
          <w:color w:val="000000"/>
          <w:szCs w:val="24"/>
        </w:rPr>
      </w:pPr>
      <w:r>
        <w:rPr>
          <w:color w:val="000000"/>
          <w:szCs w:val="24"/>
        </w:rPr>
        <w:lastRenderedPageBreak/>
        <w:t>„Wytyczne dotyczące założeń makroekonomicznych na potrzeby wieloletnich prognoz finansowych jednostek samorządu terytorialnego”,</w:t>
      </w:r>
    </w:p>
    <w:p w:rsidR="000815DA" w:rsidRDefault="000815DA" w:rsidP="000815DA">
      <w:pPr>
        <w:pStyle w:val="Tekstpodstawowy2"/>
        <w:numPr>
          <w:ilvl w:val="0"/>
          <w:numId w:val="12"/>
        </w:numPr>
        <w:ind w:right="-286"/>
        <w:rPr>
          <w:color w:val="000000"/>
          <w:szCs w:val="24"/>
        </w:rPr>
      </w:pPr>
      <w:r>
        <w:rPr>
          <w:color w:val="000000"/>
          <w:szCs w:val="24"/>
        </w:rPr>
        <w:t xml:space="preserve">„Wytyczne dotyczące stosowania jednolitych wskaźników makroekonomicznych będących podstawą oszacowana skutków finansowych projektowanych ustaw’. </w:t>
      </w:r>
    </w:p>
    <w:p w:rsidR="000815DA" w:rsidRDefault="004D5A97" w:rsidP="00983181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Konstruując </w:t>
      </w:r>
      <w:r w:rsidR="000815DA">
        <w:rPr>
          <w:color w:val="000000"/>
          <w:szCs w:val="24"/>
        </w:rPr>
        <w:t>Wieloletnia Prognozę Finansową oparto się również na danych historycznych w zakresie poszczególnych źródeł dochodów i kategorii wydatków przyjmując za punkt odniesienia wartości faktycznie wykonane w latach 2012 – 2012 i plan budżetu na rok 2013 według stanu na 30 września 2013 roku oraz przewidywane wykonanie budżetu za 2013 rok</w:t>
      </w:r>
      <w:r>
        <w:rPr>
          <w:color w:val="000000"/>
          <w:szCs w:val="24"/>
        </w:rPr>
        <w:t xml:space="preserve">. </w:t>
      </w:r>
    </w:p>
    <w:p w:rsidR="000815DA" w:rsidRDefault="000815DA" w:rsidP="00983181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>Dochody i wydatki, przychody i rozchody na 2014 rok przyjęto w wartościach zgodnych z projektem uchwały budżetowej na ten rok.</w:t>
      </w:r>
    </w:p>
    <w:p w:rsidR="000815DA" w:rsidRDefault="000815DA" w:rsidP="00983181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>Ponadto prognozę finansową opracowano na podstawie regulacji dotyczących projektowania budżetu zawartych w ustawie o finansach publicznych, ustawie o dochodach jednostek samorządu terytorialnego, ustawie o podatkach i opłatach lokalnych oraz analizy kształtowania się sytuacji finansowej Gminy w ostatnich latach oraz przewidywanych tendencji rozwoju.</w:t>
      </w:r>
    </w:p>
    <w:p w:rsidR="00F55974" w:rsidRDefault="00E76E2A" w:rsidP="00983181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Dokonując analizy wykorzystano wskaźniki </w:t>
      </w:r>
      <w:r w:rsidR="000D5F25">
        <w:rPr>
          <w:color w:val="000000"/>
          <w:szCs w:val="24"/>
        </w:rPr>
        <w:t>przygotowane przez Ministerstwo F</w:t>
      </w:r>
      <w:r>
        <w:rPr>
          <w:color w:val="000000"/>
          <w:szCs w:val="24"/>
        </w:rPr>
        <w:t xml:space="preserve">inansów, które pozwalają na ocenę sytuacji finansowej jednostki samorządu terytorialnego, ocenę możliwości zaciągania zobowiązań oraz podejmowanie decyzji o charakterze rozwojowym. </w:t>
      </w:r>
      <w:r w:rsidR="008E1579">
        <w:rPr>
          <w:color w:val="000000"/>
          <w:szCs w:val="24"/>
        </w:rPr>
        <w:t>Na część dochodów budżetowych ma wpływ aktywność gospodarcza, której podstawowym miernikiem są zmiany PKB.</w:t>
      </w:r>
    </w:p>
    <w:p w:rsidR="008E1579" w:rsidRDefault="008E1579" w:rsidP="008E1579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>Do celów prognozy wykorzystano założenia makroekonomiczne, podane przez Ministerstwo Finansów:</w:t>
      </w:r>
    </w:p>
    <w:p w:rsidR="008E1579" w:rsidRDefault="008E1579" w:rsidP="008E1579">
      <w:pPr>
        <w:pStyle w:val="Tekstpodstawowy2"/>
        <w:ind w:right="-286"/>
        <w:rPr>
          <w:color w:val="000000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794"/>
        <w:gridCol w:w="1417"/>
        <w:gridCol w:w="1276"/>
        <w:gridCol w:w="1418"/>
        <w:gridCol w:w="1305"/>
      </w:tblGrid>
      <w:tr w:rsidR="008E1579" w:rsidTr="008E1579">
        <w:tc>
          <w:tcPr>
            <w:tcW w:w="3794" w:type="dxa"/>
          </w:tcPr>
          <w:p w:rsidR="008E1579" w:rsidRPr="008E1579" w:rsidRDefault="008E1579" w:rsidP="008E1579">
            <w:pPr>
              <w:pStyle w:val="Tekstpodstawowy2"/>
              <w:ind w:right="-286"/>
              <w:jc w:val="center"/>
              <w:rPr>
                <w:b/>
                <w:color w:val="000000"/>
                <w:sz w:val="22"/>
                <w:szCs w:val="22"/>
              </w:rPr>
            </w:pPr>
            <w:r w:rsidRPr="008E1579">
              <w:rPr>
                <w:b/>
                <w:color w:val="000000"/>
                <w:sz w:val="22"/>
                <w:szCs w:val="22"/>
              </w:rPr>
              <w:t>Wskaźniki makroekonomiczne</w:t>
            </w:r>
          </w:p>
        </w:tc>
        <w:tc>
          <w:tcPr>
            <w:tcW w:w="1417" w:type="dxa"/>
          </w:tcPr>
          <w:p w:rsidR="008E1579" w:rsidRPr="008E1579" w:rsidRDefault="008E1579" w:rsidP="008E1579">
            <w:pPr>
              <w:pStyle w:val="Tekstpodstawowy2"/>
              <w:ind w:right="-286"/>
              <w:jc w:val="center"/>
              <w:rPr>
                <w:b/>
                <w:color w:val="000000"/>
                <w:sz w:val="22"/>
                <w:szCs w:val="22"/>
              </w:rPr>
            </w:pPr>
            <w:r w:rsidRPr="008E1579">
              <w:rPr>
                <w:b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76" w:type="dxa"/>
          </w:tcPr>
          <w:p w:rsidR="008E1579" w:rsidRPr="008E1579" w:rsidRDefault="008E1579" w:rsidP="008E1579">
            <w:pPr>
              <w:pStyle w:val="Tekstpodstawowy2"/>
              <w:ind w:right="-286"/>
              <w:jc w:val="center"/>
              <w:rPr>
                <w:b/>
                <w:color w:val="000000"/>
                <w:sz w:val="22"/>
                <w:szCs w:val="22"/>
              </w:rPr>
            </w:pPr>
            <w:r w:rsidRPr="008E1579">
              <w:rPr>
                <w:b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418" w:type="dxa"/>
          </w:tcPr>
          <w:p w:rsidR="008E1579" w:rsidRPr="008E1579" w:rsidRDefault="008E1579" w:rsidP="008E1579">
            <w:pPr>
              <w:pStyle w:val="Tekstpodstawowy2"/>
              <w:ind w:right="-286"/>
              <w:jc w:val="center"/>
              <w:rPr>
                <w:b/>
                <w:color w:val="000000"/>
                <w:sz w:val="22"/>
                <w:szCs w:val="22"/>
              </w:rPr>
            </w:pPr>
            <w:r w:rsidRPr="008E1579">
              <w:rPr>
                <w:b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305" w:type="dxa"/>
          </w:tcPr>
          <w:p w:rsidR="008E1579" w:rsidRPr="008E1579" w:rsidRDefault="008E1579" w:rsidP="008E1579">
            <w:pPr>
              <w:pStyle w:val="Tekstpodstawowy2"/>
              <w:ind w:right="-286"/>
              <w:jc w:val="center"/>
              <w:rPr>
                <w:b/>
                <w:color w:val="000000"/>
                <w:sz w:val="22"/>
                <w:szCs w:val="22"/>
              </w:rPr>
            </w:pPr>
            <w:r w:rsidRPr="008E1579">
              <w:rPr>
                <w:b/>
                <w:color w:val="000000"/>
                <w:sz w:val="22"/>
                <w:szCs w:val="22"/>
              </w:rPr>
              <w:t>2017</w:t>
            </w:r>
          </w:p>
        </w:tc>
      </w:tr>
      <w:tr w:rsidR="008E1579" w:rsidTr="008E1579">
        <w:tc>
          <w:tcPr>
            <w:tcW w:w="3794" w:type="dxa"/>
          </w:tcPr>
          <w:p w:rsidR="008E1579" w:rsidRPr="008E1579" w:rsidRDefault="008E1579" w:rsidP="008E1579">
            <w:pPr>
              <w:pStyle w:val="Tekstpodstawowy2"/>
              <w:ind w:right="-286"/>
              <w:jc w:val="left"/>
              <w:rPr>
                <w:b/>
                <w:color w:val="000000"/>
                <w:sz w:val="22"/>
                <w:szCs w:val="22"/>
              </w:rPr>
            </w:pPr>
            <w:r w:rsidRPr="008E1579">
              <w:rPr>
                <w:b/>
                <w:color w:val="000000"/>
                <w:sz w:val="22"/>
                <w:szCs w:val="22"/>
              </w:rPr>
              <w:t>inflacja średnioroczna (%)</w:t>
            </w:r>
          </w:p>
        </w:tc>
        <w:tc>
          <w:tcPr>
            <w:tcW w:w="1417" w:type="dxa"/>
          </w:tcPr>
          <w:p w:rsidR="008E1579" w:rsidRPr="008E1579" w:rsidRDefault="008E1579" w:rsidP="008E1579">
            <w:pPr>
              <w:pStyle w:val="Tekstpodstawowy2"/>
              <w:ind w:right="-286"/>
              <w:jc w:val="center"/>
              <w:rPr>
                <w:b/>
                <w:color w:val="000000"/>
                <w:sz w:val="22"/>
                <w:szCs w:val="22"/>
              </w:rPr>
            </w:pPr>
            <w:r w:rsidRPr="008E1579">
              <w:rPr>
                <w:b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276" w:type="dxa"/>
          </w:tcPr>
          <w:p w:rsidR="008E1579" w:rsidRPr="008E1579" w:rsidRDefault="008E1579" w:rsidP="008E1579">
            <w:pPr>
              <w:pStyle w:val="Tekstpodstawowy2"/>
              <w:ind w:right="-286"/>
              <w:jc w:val="center"/>
              <w:rPr>
                <w:b/>
                <w:color w:val="000000"/>
                <w:sz w:val="22"/>
                <w:szCs w:val="22"/>
              </w:rPr>
            </w:pPr>
            <w:r w:rsidRPr="008E1579">
              <w:rPr>
                <w:b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418" w:type="dxa"/>
          </w:tcPr>
          <w:p w:rsidR="008E1579" w:rsidRPr="008E1579" w:rsidRDefault="008E1579" w:rsidP="008E1579">
            <w:pPr>
              <w:pStyle w:val="Tekstpodstawowy2"/>
              <w:ind w:right="-286"/>
              <w:jc w:val="center"/>
              <w:rPr>
                <w:b/>
                <w:color w:val="000000"/>
                <w:sz w:val="22"/>
                <w:szCs w:val="22"/>
              </w:rPr>
            </w:pPr>
            <w:r w:rsidRPr="008E1579">
              <w:rPr>
                <w:b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305" w:type="dxa"/>
          </w:tcPr>
          <w:p w:rsidR="008E1579" w:rsidRPr="008E1579" w:rsidRDefault="008E1579" w:rsidP="008E1579">
            <w:pPr>
              <w:pStyle w:val="Tekstpodstawowy2"/>
              <w:ind w:right="-286"/>
              <w:jc w:val="center"/>
              <w:rPr>
                <w:b/>
                <w:color w:val="000000"/>
                <w:sz w:val="22"/>
                <w:szCs w:val="22"/>
              </w:rPr>
            </w:pPr>
            <w:r w:rsidRPr="008E1579">
              <w:rPr>
                <w:b/>
                <w:color w:val="000000"/>
                <w:sz w:val="22"/>
                <w:szCs w:val="22"/>
              </w:rPr>
              <w:t>2,5</w:t>
            </w:r>
          </w:p>
        </w:tc>
      </w:tr>
      <w:tr w:rsidR="008E1579" w:rsidTr="008E1579">
        <w:tc>
          <w:tcPr>
            <w:tcW w:w="3794" w:type="dxa"/>
          </w:tcPr>
          <w:p w:rsidR="008E1579" w:rsidRPr="008E1579" w:rsidRDefault="008E1579" w:rsidP="008E1579">
            <w:pPr>
              <w:pStyle w:val="Tekstpodstawowy2"/>
              <w:ind w:right="-286"/>
              <w:jc w:val="left"/>
              <w:rPr>
                <w:b/>
                <w:color w:val="000000"/>
                <w:sz w:val="22"/>
                <w:szCs w:val="22"/>
              </w:rPr>
            </w:pPr>
            <w:r w:rsidRPr="008E1579">
              <w:rPr>
                <w:b/>
                <w:color w:val="000000"/>
                <w:sz w:val="22"/>
                <w:szCs w:val="22"/>
              </w:rPr>
              <w:t>realny wzrost PKB (%)</w:t>
            </w:r>
          </w:p>
        </w:tc>
        <w:tc>
          <w:tcPr>
            <w:tcW w:w="1417" w:type="dxa"/>
          </w:tcPr>
          <w:p w:rsidR="008E1579" w:rsidRPr="008E1579" w:rsidRDefault="008E1579" w:rsidP="008E1579">
            <w:pPr>
              <w:pStyle w:val="Tekstpodstawowy2"/>
              <w:ind w:right="-286"/>
              <w:jc w:val="center"/>
              <w:rPr>
                <w:b/>
                <w:color w:val="000000"/>
                <w:sz w:val="22"/>
                <w:szCs w:val="22"/>
              </w:rPr>
            </w:pPr>
            <w:r w:rsidRPr="008E1579">
              <w:rPr>
                <w:b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6" w:type="dxa"/>
          </w:tcPr>
          <w:p w:rsidR="008E1579" w:rsidRPr="008E1579" w:rsidRDefault="008E1579" w:rsidP="008E1579">
            <w:pPr>
              <w:pStyle w:val="Tekstpodstawowy2"/>
              <w:ind w:right="-286"/>
              <w:jc w:val="center"/>
              <w:rPr>
                <w:b/>
                <w:color w:val="000000"/>
                <w:sz w:val="22"/>
                <w:szCs w:val="22"/>
              </w:rPr>
            </w:pPr>
            <w:r w:rsidRPr="008E1579">
              <w:rPr>
                <w:b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418" w:type="dxa"/>
          </w:tcPr>
          <w:p w:rsidR="008E1579" w:rsidRPr="008E1579" w:rsidRDefault="008E1579" w:rsidP="008E1579">
            <w:pPr>
              <w:pStyle w:val="Tekstpodstawowy2"/>
              <w:ind w:right="-286"/>
              <w:jc w:val="center"/>
              <w:rPr>
                <w:b/>
                <w:color w:val="000000"/>
                <w:sz w:val="22"/>
                <w:szCs w:val="22"/>
              </w:rPr>
            </w:pPr>
            <w:r w:rsidRPr="008E1579">
              <w:rPr>
                <w:b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05" w:type="dxa"/>
          </w:tcPr>
          <w:p w:rsidR="008E1579" w:rsidRPr="008E1579" w:rsidRDefault="008E1579" w:rsidP="008E1579">
            <w:pPr>
              <w:pStyle w:val="Tekstpodstawowy2"/>
              <w:ind w:right="-286"/>
              <w:jc w:val="center"/>
              <w:rPr>
                <w:b/>
                <w:color w:val="000000"/>
                <w:sz w:val="22"/>
                <w:szCs w:val="22"/>
              </w:rPr>
            </w:pPr>
            <w:r w:rsidRPr="008E1579">
              <w:rPr>
                <w:b/>
                <w:color w:val="000000"/>
                <w:sz w:val="22"/>
                <w:szCs w:val="22"/>
              </w:rPr>
              <w:t>4,2</w:t>
            </w:r>
          </w:p>
        </w:tc>
      </w:tr>
      <w:tr w:rsidR="008E1579" w:rsidTr="008E1579">
        <w:tc>
          <w:tcPr>
            <w:tcW w:w="3794" w:type="dxa"/>
          </w:tcPr>
          <w:p w:rsidR="008E1579" w:rsidRPr="008E1579" w:rsidRDefault="00A44E1D" w:rsidP="008E1579">
            <w:pPr>
              <w:pStyle w:val="Tekstpodstawowy2"/>
              <w:ind w:right="-286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kurs walutowy PLN/EUR </w:t>
            </w:r>
            <w:r w:rsidR="00DF78FB">
              <w:rPr>
                <w:b/>
                <w:color w:val="000000"/>
                <w:sz w:val="22"/>
                <w:szCs w:val="22"/>
              </w:rPr>
              <w:t>(</w:t>
            </w:r>
            <w:r w:rsidR="008E1579" w:rsidRPr="008E1579">
              <w:rPr>
                <w:b/>
                <w:color w:val="000000"/>
                <w:sz w:val="22"/>
                <w:szCs w:val="22"/>
              </w:rPr>
              <w:t>zł.)</w:t>
            </w:r>
          </w:p>
        </w:tc>
        <w:tc>
          <w:tcPr>
            <w:tcW w:w="1417" w:type="dxa"/>
          </w:tcPr>
          <w:p w:rsidR="008E1579" w:rsidRPr="008E1579" w:rsidRDefault="008E1579" w:rsidP="008E1579">
            <w:pPr>
              <w:pStyle w:val="Tekstpodstawowy2"/>
              <w:ind w:right="-286"/>
              <w:jc w:val="center"/>
              <w:rPr>
                <w:b/>
                <w:color w:val="000000"/>
                <w:sz w:val="22"/>
                <w:szCs w:val="22"/>
              </w:rPr>
            </w:pPr>
            <w:r w:rsidRPr="008E1579">
              <w:rPr>
                <w:b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276" w:type="dxa"/>
          </w:tcPr>
          <w:p w:rsidR="008E1579" w:rsidRPr="008E1579" w:rsidRDefault="008E1579" w:rsidP="008E1579">
            <w:pPr>
              <w:pStyle w:val="Tekstpodstawowy2"/>
              <w:ind w:right="-286"/>
              <w:jc w:val="center"/>
              <w:rPr>
                <w:b/>
                <w:color w:val="000000"/>
                <w:sz w:val="22"/>
                <w:szCs w:val="22"/>
              </w:rPr>
            </w:pPr>
            <w:r w:rsidRPr="008E1579">
              <w:rPr>
                <w:b/>
                <w:color w:val="000000"/>
                <w:sz w:val="22"/>
                <w:szCs w:val="22"/>
              </w:rPr>
              <w:t>3,85</w:t>
            </w:r>
          </w:p>
        </w:tc>
        <w:tc>
          <w:tcPr>
            <w:tcW w:w="1418" w:type="dxa"/>
          </w:tcPr>
          <w:p w:rsidR="008E1579" w:rsidRPr="008E1579" w:rsidRDefault="008E1579" w:rsidP="008E1579">
            <w:pPr>
              <w:pStyle w:val="Tekstpodstawowy2"/>
              <w:ind w:right="-286"/>
              <w:jc w:val="center"/>
              <w:rPr>
                <w:b/>
                <w:color w:val="000000"/>
                <w:sz w:val="22"/>
                <w:szCs w:val="22"/>
              </w:rPr>
            </w:pPr>
            <w:r w:rsidRPr="008E1579">
              <w:rPr>
                <w:b/>
                <w:color w:val="000000"/>
                <w:sz w:val="22"/>
                <w:szCs w:val="22"/>
              </w:rPr>
              <w:t>3,70</w:t>
            </w:r>
          </w:p>
        </w:tc>
        <w:tc>
          <w:tcPr>
            <w:tcW w:w="1305" w:type="dxa"/>
          </w:tcPr>
          <w:p w:rsidR="008E1579" w:rsidRPr="008E1579" w:rsidRDefault="008E1579" w:rsidP="008E1579">
            <w:pPr>
              <w:pStyle w:val="Tekstpodstawowy2"/>
              <w:ind w:right="-286"/>
              <w:jc w:val="center"/>
              <w:rPr>
                <w:b/>
                <w:color w:val="000000"/>
                <w:sz w:val="22"/>
                <w:szCs w:val="22"/>
              </w:rPr>
            </w:pPr>
            <w:r w:rsidRPr="008E1579">
              <w:rPr>
                <w:b/>
                <w:color w:val="000000"/>
                <w:sz w:val="22"/>
                <w:szCs w:val="22"/>
              </w:rPr>
              <w:t>3,65</w:t>
            </w:r>
          </w:p>
        </w:tc>
      </w:tr>
      <w:tr w:rsidR="008E1579" w:rsidTr="008E1579">
        <w:tc>
          <w:tcPr>
            <w:tcW w:w="3794" w:type="dxa"/>
          </w:tcPr>
          <w:p w:rsidR="008E1579" w:rsidRPr="008E1579" w:rsidRDefault="008E1579" w:rsidP="008E1579">
            <w:pPr>
              <w:pStyle w:val="Tekstpodstawowy2"/>
              <w:ind w:right="-286"/>
              <w:jc w:val="left"/>
              <w:rPr>
                <w:b/>
                <w:color w:val="000000"/>
                <w:sz w:val="22"/>
                <w:szCs w:val="22"/>
              </w:rPr>
            </w:pPr>
            <w:r w:rsidRPr="008E1579">
              <w:rPr>
                <w:b/>
                <w:color w:val="000000"/>
                <w:sz w:val="22"/>
                <w:szCs w:val="22"/>
              </w:rPr>
              <w:t>WIBOR 6M (%)</w:t>
            </w:r>
          </w:p>
        </w:tc>
        <w:tc>
          <w:tcPr>
            <w:tcW w:w="1417" w:type="dxa"/>
          </w:tcPr>
          <w:p w:rsidR="008E1579" w:rsidRPr="008E1579" w:rsidRDefault="008E1579" w:rsidP="008E1579">
            <w:pPr>
              <w:pStyle w:val="Tekstpodstawowy2"/>
              <w:ind w:right="-286"/>
              <w:jc w:val="center"/>
              <w:rPr>
                <w:b/>
                <w:color w:val="000000"/>
                <w:sz w:val="22"/>
                <w:szCs w:val="22"/>
              </w:rPr>
            </w:pPr>
            <w:r w:rsidRPr="008E1579">
              <w:rPr>
                <w:b/>
                <w:color w:val="000000"/>
                <w:sz w:val="22"/>
                <w:szCs w:val="22"/>
              </w:rPr>
              <w:t>5,50</w:t>
            </w:r>
          </w:p>
        </w:tc>
        <w:tc>
          <w:tcPr>
            <w:tcW w:w="1276" w:type="dxa"/>
          </w:tcPr>
          <w:p w:rsidR="008E1579" w:rsidRPr="008E1579" w:rsidRDefault="008E1579" w:rsidP="008E1579">
            <w:pPr>
              <w:pStyle w:val="Tekstpodstawowy2"/>
              <w:ind w:right="-286"/>
              <w:jc w:val="center"/>
              <w:rPr>
                <w:b/>
                <w:color w:val="000000"/>
                <w:sz w:val="22"/>
                <w:szCs w:val="22"/>
              </w:rPr>
            </w:pPr>
            <w:r w:rsidRPr="008E1579">
              <w:rPr>
                <w:b/>
                <w:color w:val="000000"/>
                <w:sz w:val="22"/>
                <w:szCs w:val="22"/>
              </w:rPr>
              <w:t>5,50</w:t>
            </w:r>
          </w:p>
        </w:tc>
        <w:tc>
          <w:tcPr>
            <w:tcW w:w="1418" w:type="dxa"/>
          </w:tcPr>
          <w:p w:rsidR="008E1579" w:rsidRPr="008E1579" w:rsidRDefault="008E1579" w:rsidP="008E1579">
            <w:pPr>
              <w:pStyle w:val="Tekstpodstawowy2"/>
              <w:ind w:right="-286"/>
              <w:jc w:val="center"/>
              <w:rPr>
                <w:b/>
                <w:color w:val="000000"/>
                <w:sz w:val="22"/>
                <w:szCs w:val="22"/>
              </w:rPr>
            </w:pPr>
            <w:r w:rsidRPr="008E1579">
              <w:rPr>
                <w:b/>
                <w:color w:val="000000"/>
                <w:sz w:val="22"/>
                <w:szCs w:val="22"/>
              </w:rPr>
              <w:t>5,50</w:t>
            </w:r>
          </w:p>
        </w:tc>
        <w:tc>
          <w:tcPr>
            <w:tcW w:w="1305" w:type="dxa"/>
          </w:tcPr>
          <w:p w:rsidR="008E1579" w:rsidRPr="008E1579" w:rsidRDefault="008E1579" w:rsidP="008E1579">
            <w:pPr>
              <w:pStyle w:val="Tekstpodstawowy2"/>
              <w:ind w:right="-286"/>
              <w:jc w:val="center"/>
              <w:rPr>
                <w:b/>
                <w:color w:val="000000"/>
                <w:sz w:val="22"/>
                <w:szCs w:val="22"/>
              </w:rPr>
            </w:pPr>
            <w:r w:rsidRPr="008E1579">
              <w:rPr>
                <w:b/>
                <w:color w:val="000000"/>
                <w:sz w:val="22"/>
                <w:szCs w:val="22"/>
              </w:rPr>
              <w:t>5,50</w:t>
            </w:r>
          </w:p>
        </w:tc>
      </w:tr>
    </w:tbl>
    <w:p w:rsidR="008E1579" w:rsidRDefault="008E1579" w:rsidP="008E1579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ab/>
      </w:r>
    </w:p>
    <w:p w:rsidR="008E1579" w:rsidRDefault="008E1579" w:rsidP="008E1579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 xml:space="preserve">W latach po 2017 założenia odnośnie inflacji oraz PKB przyjęto na poziomie zgodnym                     z wytycznymi Ministra Finansów dotyczącymi założeń makroekonomicznych na potrzeby wieloletniej prognozy finansowej jednostek samorządu terytorialnego. </w:t>
      </w:r>
    </w:p>
    <w:p w:rsidR="008E1579" w:rsidRDefault="008E1579" w:rsidP="008E1579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Ponadto uwzględniono wynagrodzenie za pracę w 2014 roku – 1 680 zł., przeciętne wynagrodzenie w gospodarce narodowej </w:t>
      </w:r>
      <w:r>
        <w:rPr>
          <w:color w:val="FF0000"/>
          <w:szCs w:val="24"/>
        </w:rPr>
        <w:t xml:space="preserve"> </w:t>
      </w:r>
      <w:r>
        <w:rPr>
          <w:color w:val="000000" w:themeColor="text1"/>
          <w:szCs w:val="24"/>
        </w:rPr>
        <w:t>- 3 746</w:t>
      </w:r>
      <w:r w:rsidRPr="00CF2BC9">
        <w:rPr>
          <w:color w:val="000000" w:themeColor="text1"/>
          <w:szCs w:val="24"/>
        </w:rPr>
        <w:t xml:space="preserve"> zł.</w:t>
      </w:r>
      <w:r>
        <w:rPr>
          <w:color w:val="000000"/>
          <w:szCs w:val="24"/>
        </w:rPr>
        <w:t xml:space="preserve">(wzrost przeciętnego wynagrodzenia w gospodarce narodowej – 3,5%), wzrost zatrudnienia w gospodarce narodowej – 0,2 %,, kwotę bazowa dla osób zajmujących kierownicze stanowiska państwowe – 1 766,46 zł., wzrost spożycia ogółem –  o 4,6%, stopę bezrobocia rejestrowanego na koniec roku </w:t>
      </w:r>
      <w:r w:rsidRPr="00CF2BC9">
        <w:rPr>
          <w:color w:val="000000" w:themeColor="text1"/>
          <w:szCs w:val="24"/>
        </w:rPr>
        <w:t xml:space="preserve">–  ok. </w:t>
      </w:r>
      <w:r>
        <w:rPr>
          <w:color w:val="000000" w:themeColor="text1"/>
          <w:szCs w:val="24"/>
        </w:rPr>
        <w:t>13,8</w:t>
      </w:r>
      <w:r w:rsidRPr="00CF2BC9">
        <w:rPr>
          <w:color w:val="000000" w:themeColor="text1"/>
          <w:szCs w:val="24"/>
        </w:rPr>
        <w:t>%</w:t>
      </w:r>
    </w:p>
    <w:p w:rsidR="001F3619" w:rsidRDefault="00E76E2A" w:rsidP="008E1579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>Przyszłe zamierzenia</w:t>
      </w:r>
      <w:r w:rsidR="00F46793">
        <w:rPr>
          <w:color w:val="000000"/>
          <w:szCs w:val="24"/>
        </w:rPr>
        <w:t xml:space="preserve"> w zakresie działalności bieżącej jak i inwestycyjnej</w:t>
      </w:r>
      <w:r>
        <w:rPr>
          <w:color w:val="000000"/>
          <w:szCs w:val="24"/>
        </w:rPr>
        <w:t xml:space="preserve"> wynikają </w:t>
      </w:r>
      <w:r w:rsidR="00F55974">
        <w:rPr>
          <w:color w:val="000000"/>
          <w:szCs w:val="24"/>
        </w:rPr>
        <w:t xml:space="preserve">          </w:t>
      </w:r>
      <w:r>
        <w:rPr>
          <w:color w:val="000000"/>
          <w:szCs w:val="24"/>
        </w:rPr>
        <w:t>z uwarunkowań prawnych, potrzeb społeczności samorządowej oraz lokalnej strategii rozwoju</w:t>
      </w:r>
      <w:r w:rsidR="006979EB">
        <w:rPr>
          <w:color w:val="000000"/>
          <w:szCs w:val="24"/>
        </w:rPr>
        <w:t>.</w:t>
      </w:r>
    </w:p>
    <w:p w:rsidR="008E1579" w:rsidRDefault="008E1579" w:rsidP="00983181">
      <w:pPr>
        <w:pStyle w:val="Tekstpodstawowy2"/>
        <w:ind w:left="720" w:right="-286"/>
        <w:rPr>
          <w:color w:val="000000"/>
          <w:szCs w:val="24"/>
        </w:rPr>
      </w:pPr>
    </w:p>
    <w:p w:rsidR="001F3619" w:rsidRDefault="001F3619" w:rsidP="00983181">
      <w:pPr>
        <w:pStyle w:val="Tekstpodstawowy2"/>
        <w:ind w:left="720" w:right="-286"/>
        <w:rPr>
          <w:color w:val="000000"/>
          <w:szCs w:val="24"/>
        </w:rPr>
      </w:pPr>
      <w:r>
        <w:rPr>
          <w:color w:val="000000"/>
          <w:szCs w:val="24"/>
        </w:rPr>
        <w:t>Ponadto w opracowywaniu prognozy wykorzystano niezbędne dane dotyczące zawartych</w:t>
      </w:r>
    </w:p>
    <w:p w:rsidR="00207B1F" w:rsidRDefault="001F3619" w:rsidP="00C30FF0">
      <w:pPr>
        <w:pStyle w:val="Tekstpodstawowy2"/>
        <w:ind w:right="-286"/>
      </w:pPr>
      <w:r>
        <w:rPr>
          <w:color w:val="000000"/>
          <w:szCs w:val="24"/>
        </w:rPr>
        <w:t xml:space="preserve"> umów kredytowych, harmonogramów spłat, realizowanych przedsięwzięć, programów projektów oraz zadań.</w:t>
      </w:r>
      <w:r w:rsidR="00C30FF0">
        <w:rPr>
          <w:color w:val="000000"/>
          <w:szCs w:val="24"/>
        </w:rPr>
        <w:t xml:space="preserve"> </w:t>
      </w:r>
      <w:r w:rsidRPr="00EB492F">
        <w:rPr>
          <w:color w:val="000000"/>
          <w:szCs w:val="24"/>
        </w:rPr>
        <w:t xml:space="preserve">Na etapie sporządzania wieloletniej </w:t>
      </w:r>
      <w:r w:rsidR="001063B2" w:rsidRPr="00EB492F">
        <w:rPr>
          <w:color w:val="000000"/>
          <w:szCs w:val="24"/>
        </w:rPr>
        <w:t>prognozy finansowej Gmina Nowe M</w:t>
      </w:r>
      <w:r w:rsidRPr="00EB492F">
        <w:rPr>
          <w:color w:val="000000"/>
          <w:szCs w:val="24"/>
        </w:rPr>
        <w:t xml:space="preserve">iasto nad Pilicą posiada </w:t>
      </w:r>
      <w:r w:rsidR="00C30FF0">
        <w:rPr>
          <w:color w:val="000000"/>
          <w:szCs w:val="24"/>
        </w:rPr>
        <w:t>pięć zawartych umów</w:t>
      </w:r>
      <w:r w:rsidR="00EE3A3C" w:rsidRPr="00EB492F">
        <w:rPr>
          <w:color w:val="000000"/>
          <w:szCs w:val="24"/>
        </w:rPr>
        <w:t xml:space="preserve"> </w:t>
      </w:r>
      <w:r w:rsidR="00983181" w:rsidRPr="00EB492F">
        <w:rPr>
          <w:color w:val="000000"/>
          <w:szCs w:val="24"/>
        </w:rPr>
        <w:t>o pożyczk</w:t>
      </w:r>
      <w:r w:rsidR="00C30FF0">
        <w:rPr>
          <w:color w:val="000000"/>
          <w:szCs w:val="24"/>
        </w:rPr>
        <w:t xml:space="preserve">i </w:t>
      </w:r>
      <w:r w:rsidR="00C30FF0">
        <w:t>zaciągniętych</w:t>
      </w:r>
      <w:r w:rsidR="00983181" w:rsidRPr="00EB492F">
        <w:t xml:space="preserve"> w Wojewódzkim Funduszu Ochrony Środowiska  i Gospodarki Wodnej w Warszawie</w:t>
      </w:r>
      <w:r w:rsidR="00207B1F">
        <w:t>;</w:t>
      </w:r>
    </w:p>
    <w:p w:rsidR="00EB492F" w:rsidRDefault="00EB492F" w:rsidP="00207B1F">
      <w:pPr>
        <w:pStyle w:val="Tekstpodstawowy2"/>
        <w:numPr>
          <w:ilvl w:val="0"/>
          <w:numId w:val="9"/>
        </w:numPr>
        <w:ind w:right="-286"/>
        <w:rPr>
          <w:b/>
        </w:rPr>
      </w:pPr>
      <w:r w:rsidRPr="00EB492F">
        <w:t>„</w:t>
      </w:r>
      <w:r>
        <w:t xml:space="preserve">Zakup średniego samochodu ratowniczo-gaśniczego dla Ochotniczej Straży Pożarnej           w Nowym Mieście nad Pilicą” – </w:t>
      </w:r>
      <w:r w:rsidR="00207B1F">
        <w:t>150</w:t>
      </w:r>
      <w:r>
        <w:t xml:space="preserve"> 000 zł., z następującym harmonogramem spłat: 2014 r. – 50 000 zł. i 2015 r. – 100 000 zł.</w:t>
      </w:r>
    </w:p>
    <w:p w:rsidR="00EB492F" w:rsidRDefault="00EB492F" w:rsidP="00207B1F">
      <w:pPr>
        <w:pStyle w:val="Tytu"/>
        <w:numPr>
          <w:ilvl w:val="0"/>
          <w:numId w:val="10"/>
        </w:numPr>
        <w:spacing w:line="360" w:lineRule="auto"/>
        <w:jc w:val="both"/>
        <w:rPr>
          <w:b w:val="0"/>
        </w:rPr>
      </w:pPr>
      <w:r w:rsidRPr="00EB492F">
        <w:rPr>
          <w:b w:val="0"/>
        </w:rPr>
        <w:t>„</w:t>
      </w:r>
      <w:r w:rsidR="00CF2BC9" w:rsidRPr="00EB492F">
        <w:rPr>
          <w:b w:val="0"/>
        </w:rPr>
        <w:t>Modernizac</w:t>
      </w:r>
      <w:r w:rsidR="00CF2BC9">
        <w:rPr>
          <w:b w:val="0"/>
        </w:rPr>
        <w:t>ja</w:t>
      </w:r>
      <w:r w:rsidRPr="00EB492F">
        <w:rPr>
          <w:b w:val="0"/>
        </w:rPr>
        <w:t xml:space="preserve"> kotłowni w budynku Urzędu Miasta i Gminy w Nowym Mieście nad Pilicą” –</w:t>
      </w:r>
      <w:r>
        <w:rPr>
          <w:b w:val="0"/>
        </w:rPr>
        <w:t xml:space="preserve"> </w:t>
      </w:r>
      <w:r w:rsidR="00207B1F">
        <w:rPr>
          <w:b w:val="0"/>
        </w:rPr>
        <w:t>67 539</w:t>
      </w:r>
      <w:r>
        <w:rPr>
          <w:b w:val="0"/>
        </w:rPr>
        <w:t xml:space="preserve"> zł. z następującym harmonogramem spłat: 2014 r. - </w:t>
      </w:r>
      <w:r w:rsidRPr="00EB492F">
        <w:rPr>
          <w:b w:val="0"/>
        </w:rPr>
        <w:t xml:space="preserve"> </w:t>
      </w:r>
      <w:r w:rsidR="00207B1F">
        <w:rPr>
          <w:b w:val="0"/>
        </w:rPr>
        <w:t>5</w:t>
      </w:r>
      <w:r>
        <w:rPr>
          <w:b w:val="0"/>
        </w:rPr>
        <w:t xml:space="preserve">0 000 zł. </w:t>
      </w:r>
      <w:r w:rsidR="00207B1F">
        <w:rPr>
          <w:b w:val="0"/>
        </w:rPr>
        <w:t xml:space="preserve">           </w:t>
      </w:r>
      <w:r>
        <w:rPr>
          <w:b w:val="0"/>
        </w:rPr>
        <w:t xml:space="preserve">i w 2015 r. – </w:t>
      </w:r>
      <w:r w:rsidR="00207B1F">
        <w:rPr>
          <w:b w:val="0"/>
        </w:rPr>
        <w:t>17 539</w:t>
      </w:r>
      <w:r>
        <w:rPr>
          <w:b w:val="0"/>
        </w:rPr>
        <w:t xml:space="preserve"> zł.,</w:t>
      </w:r>
    </w:p>
    <w:p w:rsidR="00EB492F" w:rsidRDefault="00EB492F" w:rsidP="00207B1F">
      <w:pPr>
        <w:pStyle w:val="Tytu"/>
        <w:numPr>
          <w:ilvl w:val="0"/>
          <w:numId w:val="10"/>
        </w:numPr>
        <w:spacing w:line="360" w:lineRule="auto"/>
        <w:jc w:val="both"/>
        <w:rPr>
          <w:b w:val="0"/>
        </w:rPr>
      </w:pPr>
      <w:r w:rsidRPr="00EB492F">
        <w:rPr>
          <w:b w:val="0"/>
        </w:rPr>
        <w:t>„Modernizacj</w:t>
      </w:r>
      <w:r w:rsidR="00CF2BC9">
        <w:rPr>
          <w:b w:val="0"/>
        </w:rPr>
        <w:t>a</w:t>
      </w:r>
      <w:r w:rsidRPr="00EB492F">
        <w:rPr>
          <w:b w:val="0"/>
        </w:rPr>
        <w:t xml:space="preserve"> kotłowni w budynku Publicznej Szkoły Podstawowej w Żdżarach” –  </w:t>
      </w:r>
      <w:r w:rsidR="00207B1F">
        <w:rPr>
          <w:b w:val="0"/>
        </w:rPr>
        <w:t>88 971</w:t>
      </w:r>
      <w:r w:rsidRPr="00EB492F">
        <w:rPr>
          <w:b w:val="0"/>
        </w:rPr>
        <w:t xml:space="preserve"> zł.  z następującym harmonogramem spłat: 2014 r. -  50 000 zł. i w 2015 r. – </w:t>
      </w:r>
      <w:r w:rsidR="00207B1F">
        <w:rPr>
          <w:b w:val="0"/>
        </w:rPr>
        <w:t>38 971</w:t>
      </w:r>
      <w:r w:rsidRPr="00EB492F">
        <w:rPr>
          <w:b w:val="0"/>
        </w:rPr>
        <w:t xml:space="preserve"> zł.,</w:t>
      </w:r>
    </w:p>
    <w:p w:rsidR="00983181" w:rsidRDefault="00EB492F" w:rsidP="00207B1F">
      <w:pPr>
        <w:pStyle w:val="Tytu"/>
        <w:numPr>
          <w:ilvl w:val="0"/>
          <w:numId w:val="10"/>
        </w:numPr>
        <w:spacing w:line="360" w:lineRule="auto"/>
        <w:jc w:val="both"/>
        <w:rPr>
          <w:b w:val="0"/>
        </w:rPr>
      </w:pPr>
      <w:r w:rsidRPr="00EB492F">
        <w:rPr>
          <w:b w:val="0"/>
        </w:rPr>
        <w:t>„Modernizacj</w:t>
      </w:r>
      <w:r w:rsidR="00CF2BC9">
        <w:rPr>
          <w:b w:val="0"/>
        </w:rPr>
        <w:t>a</w:t>
      </w:r>
      <w:r w:rsidRPr="00EB492F">
        <w:rPr>
          <w:b w:val="0"/>
        </w:rPr>
        <w:t xml:space="preserve"> kotłowni w budynku oddziałów przedszkolnych Publicznej Szkoły Podstawowej w Nowym Mieście nad Pilicą” –</w:t>
      </w:r>
      <w:r>
        <w:rPr>
          <w:b w:val="0"/>
        </w:rPr>
        <w:t xml:space="preserve"> </w:t>
      </w:r>
      <w:r w:rsidR="00207B1F">
        <w:rPr>
          <w:b w:val="0"/>
        </w:rPr>
        <w:t>52 452</w:t>
      </w:r>
      <w:r>
        <w:rPr>
          <w:b w:val="0"/>
        </w:rPr>
        <w:t xml:space="preserve"> zł. </w:t>
      </w:r>
      <w:r w:rsidRPr="00EB492F">
        <w:rPr>
          <w:b w:val="0"/>
        </w:rPr>
        <w:t xml:space="preserve">z następującym harmonogramem spłat: </w:t>
      </w:r>
      <w:r w:rsidR="00207B1F">
        <w:rPr>
          <w:b w:val="0"/>
        </w:rPr>
        <w:t>2014 r. -  4</w:t>
      </w:r>
      <w:r w:rsidRPr="00EB492F">
        <w:rPr>
          <w:b w:val="0"/>
        </w:rPr>
        <w:t xml:space="preserve">0 000 zł. i w 2015 r. – </w:t>
      </w:r>
      <w:r w:rsidR="00207B1F">
        <w:rPr>
          <w:b w:val="0"/>
        </w:rPr>
        <w:t>12 452</w:t>
      </w:r>
      <w:r w:rsidRPr="00EB492F">
        <w:rPr>
          <w:b w:val="0"/>
        </w:rPr>
        <w:t xml:space="preserve"> zł.,</w:t>
      </w:r>
    </w:p>
    <w:p w:rsidR="00207B1F" w:rsidRPr="00EB492F" w:rsidRDefault="00207B1F" w:rsidP="00207B1F">
      <w:pPr>
        <w:pStyle w:val="Tytu"/>
        <w:numPr>
          <w:ilvl w:val="0"/>
          <w:numId w:val="10"/>
        </w:numPr>
        <w:spacing w:line="360" w:lineRule="auto"/>
        <w:jc w:val="both"/>
        <w:rPr>
          <w:b w:val="0"/>
        </w:rPr>
      </w:pPr>
      <w:r w:rsidRPr="00EB492F">
        <w:rPr>
          <w:b w:val="0"/>
        </w:rPr>
        <w:t>„</w:t>
      </w:r>
      <w:r>
        <w:rPr>
          <w:b w:val="0"/>
        </w:rPr>
        <w:t xml:space="preserve">Zakup ciężkiego samochodu ratowniczo-gaśniczego dla Ochotniczej Straży Pożarnej           w Żdżarach” – </w:t>
      </w:r>
      <w:r w:rsidRPr="00207B1F">
        <w:rPr>
          <w:b w:val="0"/>
        </w:rPr>
        <w:t xml:space="preserve">300 </w:t>
      </w:r>
      <w:r>
        <w:rPr>
          <w:b w:val="0"/>
        </w:rPr>
        <w:t>000 zł., z następującym harmonogramem spłat: 2014 r. – 100 000 zł. w 2015 r. – 100 000 zł i w 2016 r. – 100 000 zł.</w:t>
      </w:r>
    </w:p>
    <w:p w:rsidR="00983181" w:rsidRDefault="00983181" w:rsidP="00870DB3">
      <w:pPr>
        <w:pStyle w:val="Tytu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Oprócz wyżej wymienionych </w:t>
      </w:r>
      <w:r w:rsidR="00EB492F">
        <w:rPr>
          <w:b w:val="0"/>
        </w:rPr>
        <w:t>tytułów</w:t>
      </w:r>
      <w:r>
        <w:rPr>
          <w:b w:val="0"/>
        </w:rPr>
        <w:t xml:space="preserve"> w celu sfinansowania</w:t>
      </w:r>
      <w:r w:rsidR="00870DB3">
        <w:rPr>
          <w:b w:val="0"/>
        </w:rPr>
        <w:t xml:space="preserve"> </w:t>
      </w:r>
      <w:r>
        <w:rPr>
          <w:b w:val="0"/>
        </w:rPr>
        <w:t xml:space="preserve">planowanego deficytu </w:t>
      </w:r>
      <w:r w:rsidR="00EB492F">
        <w:rPr>
          <w:b w:val="0"/>
        </w:rPr>
        <w:t xml:space="preserve">          </w:t>
      </w:r>
      <w:r>
        <w:rPr>
          <w:b w:val="0"/>
        </w:rPr>
        <w:t>w 201</w:t>
      </w:r>
      <w:r w:rsidR="00207B1F">
        <w:rPr>
          <w:b w:val="0"/>
        </w:rPr>
        <w:t>4</w:t>
      </w:r>
      <w:r>
        <w:rPr>
          <w:b w:val="0"/>
        </w:rPr>
        <w:t xml:space="preserve"> roku, w związku z realizacją zaplanowanych zadań inwestycyjnych,  planuje się zaciągnąć poż</w:t>
      </w:r>
      <w:r w:rsidR="00997BD9">
        <w:rPr>
          <w:b w:val="0"/>
        </w:rPr>
        <w:t xml:space="preserve">yczki i kredyty w wysokości </w:t>
      </w:r>
      <w:r w:rsidR="00207B1F">
        <w:rPr>
          <w:b w:val="0"/>
        </w:rPr>
        <w:t>9 870 381</w:t>
      </w:r>
      <w:r>
        <w:rPr>
          <w:b w:val="0"/>
        </w:rPr>
        <w:t xml:space="preserve"> zł, z terminem spłaty w latach 201</w:t>
      </w:r>
      <w:r w:rsidR="00207B1F">
        <w:rPr>
          <w:b w:val="0"/>
        </w:rPr>
        <w:t>5</w:t>
      </w:r>
      <w:r>
        <w:rPr>
          <w:b w:val="0"/>
        </w:rPr>
        <w:t>-20</w:t>
      </w:r>
      <w:r w:rsidR="00207B1F">
        <w:rPr>
          <w:b w:val="0"/>
        </w:rPr>
        <w:t>20</w:t>
      </w:r>
      <w:r>
        <w:rPr>
          <w:b w:val="0"/>
        </w:rPr>
        <w:t xml:space="preserve"> (</w:t>
      </w:r>
      <w:r w:rsidR="00EE3A3C">
        <w:rPr>
          <w:b w:val="0"/>
        </w:rPr>
        <w:t>201</w:t>
      </w:r>
      <w:r w:rsidR="00870DB3">
        <w:rPr>
          <w:b w:val="0"/>
        </w:rPr>
        <w:t>5</w:t>
      </w:r>
      <w:r>
        <w:rPr>
          <w:b w:val="0"/>
        </w:rPr>
        <w:t xml:space="preserve"> –</w:t>
      </w:r>
      <w:r w:rsidR="00AA5EDB">
        <w:rPr>
          <w:b w:val="0"/>
        </w:rPr>
        <w:t xml:space="preserve"> </w:t>
      </w:r>
      <w:r w:rsidR="00207B1F">
        <w:rPr>
          <w:b w:val="0"/>
        </w:rPr>
        <w:t>1 170 381</w:t>
      </w:r>
      <w:r>
        <w:rPr>
          <w:b w:val="0"/>
        </w:rPr>
        <w:t xml:space="preserve"> zł, zł.</w:t>
      </w:r>
      <w:r w:rsidR="00870DB3">
        <w:rPr>
          <w:b w:val="0"/>
        </w:rPr>
        <w:t xml:space="preserve">, 2016 – </w:t>
      </w:r>
      <w:r w:rsidR="00207B1F">
        <w:rPr>
          <w:b w:val="0"/>
        </w:rPr>
        <w:t>1 500</w:t>
      </w:r>
      <w:r w:rsidR="00870DB3">
        <w:rPr>
          <w:b w:val="0"/>
        </w:rPr>
        <w:t xml:space="preserve"> 000 zł., 2017 – </w:t>
      </w:r>
      <w:r w:rsidR="00207B1F">
        <w:rPr>
          <w:b w:val="0"/>
        </w:rPr>
        <w:t xml:space="preserve">1 700 000 zł., </w:t>
      </w:r>
      <w:r w:rsidR="00870DB3">
        <w:rPr>
          <w:b w:val="0"/>
        </w:rPr>
        <w:t xml:space="preserve">2018 – </w:t>
      </w:r>
      <w:r w:rsidR="00207B1F">
        <w:rPr>
          <w:b w:val="0"/>
        </w:rPr>
        <w:t>1 700</w:t>
      </w:r>
      <w:r w:rsidR="00870DB3">
        <w:rPr>
          <w:b w:val="0"/>
        </w:rPr>
        <w:t> 000 zł.</w:t>
      </w:r>
      <w:r w:rsidR="00207B1F">
        <w:rPr>
          <w:b w:val="0"/>
        </w:rPr>
        <w:t>, 2019 – 1 700 000 zł. oraz w 2020 – 2 </w:t>
      </w:r>
      <w:r w:rsidR="0044144F">
        <w:rPr>
          <w:b w:val="0"/>
        </w:rPr>
        <w:t>2</w:t>
      </w:r>
      <w:r w:rsidR="00207B1F">
        <w:rPr>
          <w:b w:val="0"/>
        </w:rPr>
        <w:t>00 000</w:t>
      </w:r>
      <w:r w:rsidR="00870DB3">
        <w:rPr>
          <w:b w:val="0"/>
        </w:rPr>
        <w:t>)</w:t>
      </w:r>
    </w:p>
    <w:p w:rsidR="008E1579" w:rsidRDefault="00CC1649" w:rsidP="00CC1649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8E1579" w:rsidRDefault="005D2C49" w:rsidP="00CC1649">
      <w:pPr>
        <w:pStyle w:val="Tekstpodstawowy2"/>
        <w:ind w:right="-286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>II. PROG</w:t>
      </w:r>
      <w:r w:rsidR="008E1579" w:rsidRPr="008E1579">
        <w:rPr>
          <w:b/>
          <w:color w:val="000000"/>
          <w:szCs w:val="24"/>
        </w:rPr>
        <w:t>NOZOWANE DOCHODY.</w:t>
      </w:r>
    </w:p>
    <w:p w:rsidR="00A67C8F" w:rsidRPr="008E1579" w:rsidRDefault="00A67C8F" w:rsidP="00CC1649">
      <w:pPr>
        <w:pStyle w:val="Tekstpodstawowy2"/>
        <w:ind w:right="-286"/>
        <w:rPr>
          <w:b/>
          <w:color w:val="000000"/>
          <w:szCs w:val="24"/>
        </w:rPr>
      </w:pPr>
    </w:p>
    <w:p w:rsidR="008E1579" w:rsidRDefault="00A67C8F" w:rsidP="00CC1649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ab/>
        <w:t>Planowanie dochodów gminy na okres objęty prognozą rozpoczęto od analizy dotychczasowych trendów zmian dochodów w ostatnich 3 latach. Następnie skoncentrowano się na źródłach, które generują największe wpływy.</w:t>
      </w:r>
      <w:r w:rsidR="00B56CD0">
        <w:rPr>
          <w:color w:val="000000"/>
          <w:szCs w:val="24"/>
        </w:rPr>
        <w:t xml:space="preserve"> W budżecie na 2014 rok przyjęto podane przez Ministra Finansów planowane kwoty poszczególnych części subwencji ogólnej oraz planowane kwoty dochodów z tytułu udziału we wpływach z podatku dochodowego od osób fizycznych, oszacowane wpływy z udziałów w podatku dochodowym od osób prawnych, ustalone przez Wojewodę Mazowieckiego kwoty dotacji na zadania z zakresu administracji rządowej oraz dotacji na realizacje zadań własnych i dochodów związanych z realizacja zadań z zakresu administracji rządowej, ustalone na podstawie zawartych umów i  pism kwoty dotacji na zadania bieżące </w:t>
      </w:r>
      <w:r w:rsidR="00421B37">
        <w:rPr>
          <w:color w:val="000000"/>
          <w:szCs w:val="24"/>
        </w:rPr>
        <w:t>i majątkowe, szacunkowo kwoty dochodów własnych ze  sprzedaży majątku, opłat wynikających z ustaw, odpłatności za realizowane usługi, wynajmu lokali i zarządu nieruchomości oraz wpływów z różnych dochodów.</w:t>
      </w:r>
    </w:p>
    <w:p w:rsidR="00421B37" w:rsidRDefault="00421B37" w:rsidP="00CC1649">
      <w:pPr>
        <w:pStyle w:val="Tekstpodstawowy2"/>
        <w:ind w:right="-286"/>
        <w:rPr>
          <w:color w:val="000000"/>
          <w:szCs w:val="24"/>
        </w:rPr>
      </w:pPr>
    </w:p>
    <w:p w:rsidR="00421B37" w:rsidRPr="00421B37" w:rsidRDefault="00421B37" w:rsidP="00CC1649">
      <w:pPr>
        <w:pStyle w:val="Tekstpodstawowy2"/>
        <w:ind w:right="-286"/>
        <w:rPr>
          <w:b/>
          <w:color w:val="000000"/>
          <w:szCs w:val="24"/>
        </w:rPr>
      </w:pPr>
      <w:r>
        <w:rPr>
          <w:b/>
          <w:color w:val="000000"/>
          <w:szCs w:val="24"/>
        </w:rPr>
        <w:t>1. D</w:t>
      </w:r>
      <w:r w:rsidRPr="00421B37">
        <w:rPr>
          <w:b/>
          <w:color w:val="000000"/>
          <w:szCs w:val="24"/>
        </w:rPr>
        <w:t>ochody bieżące.</w:t>
      </w:r>
    </w:p>
    <w:p w:rsidR="00421B37" w:rsidRDefault="00421B37" w:rsidP="00CC1649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ab/>
        <w:t>W okresie objętym prognozą, wobec spowolnienia gospodarczego na świecie                      i w Europie, trudno wyrokować szczególnie wysokie wzrosty w dochodach bieżących. Przyjęto zatem, bezpiecznie, że będą one rosły średnio między 1%-4%</w:t>
      </w:r>
      <w:r w:rsidR="00950186">
        <w:rPr>
          <w:color w:val="000000"/>
          <w:szCs w:val="24"/>
        </w:rPr>
        <w:t xml:space="preserve"> Analiza udziału poszczególnych źródeł dochodów bieżących w dochodach bieżących ogółem w ciągu ostatnich lat potwierdza istnienie prawidłowości polegającej na tym, że największy wpływ na poziom tych dochodów mają część oświatowa subwencji ogólnej, dotacje celowe, podatki i opłaty lokalne, ze szczególnym naciskiem na podatek od nieruchomości, udziały we wpływach z podatku dochodowego </w:t>
      </w:r>
      <w:r w:rsidR="006865DE">
        <w:rPr>
          <w:color w:val="000000"/>
          <w:szCs w:val="24"/>
        </w:rPr>
        <w:t>od</w:t>
      </w:r>
      <w:r w:rsidR="00950186">
        <w:rPr>
          <w:color w:val="000000"/>
          <w:szCs w:val="24"/>
        </w:rPr>
        <w:t xml:space="preserve"> osób fizycznych i prawnych</w:t>
      </w:r>
      <w:r w:rsidR="006865DE">
        <w:rPr>
          <w:color w:val="000000"/>
          <w:szCs w:val="24"/>
        </w:rPr>
        <w:t xml:space="preserve"> a od połowy 2013 roku dochody wpływy z opłaty za gospodarowanie odpadami komunalnymi</w:t>
      </w:r>
      <w:r>
        <w:rPr>
          <w:color w:val="000000"/>
          <w:szCs w:val="24"/>
        </w:rPr>
        <w:t xml:space="preserve"> </w:t>
      </w:r>
    </w:p>
    <w:p w:rsidR="006865DE" w:rsidRDefault="006865DE" w:rsidP="00CC1649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ab/>
      </w:r>
      <w:r w:rsidRPr="006865DE">
        <w:rPr>
          <w:b/>
          <w:i/>
          <w:color w:val="000000"/>
          <w:szCs w:val="24"/>
        </w:rPr>
        <w:t>Subwencję ogólną</w:t>
      </w:r>
      <w:r>
        <w:rPr>
          <w:b/>
          <w:i/>
          <w:color w:val="000000"/>
          <w:szCs w:val="24"/>
        </w:rPr>
        <w:t xml:space="preserve"> </w:t>
      </w:r>
      <w:r w:rsidRPr="006865DE">
        <w:rPr>
          <w:color w:val="000000"/>
          <w:szCs w:val="24"/>
        </w:rPr>
        <w:t>na 2014 rok</w:t>
      </w:r>
      <w:r>
        <w:rPr>
          <w:color w:val="000000"/>
          <w:szCs w:val="24"/>
        </w:rPr>
        <w:t xml:space="preserve"> przyjęto w wysokości podanej przez Ministra Finansów, pismem z dnia 10 października 2013 r. Nr ST3/4820/10/2013. – 4 681 935 zł. W kolejnych latach dochody w tej grupie oszacowano w oparciu o planowane wpływy z 2014 roku                        i obowiązujące przepisy, które gwarantują utrzymanie co najmniej nominalnego poziomu środków z tytułu subwencji oświatowej w skali kraju z 2013 roku. </w:t>
      </w:r>
    </w:p>
    <w:p w:rsidR="00B56CD0" w:rsidRDefault="006865DE" w:rsidP="00CC1649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ab/>
        <w:t xml:space="preserve">Bazą wyjściową do ustalenia wpływów </w:t>
      </w:r>
      <w:r w:rsidRPr="006865DE">
        <w:rPr>
          <w:b/>
          <w:i/>
          <w:color w:val="000000"/>
          <w:szCs w:val="24"/>
        </w:rPr>
        <w:t>z podatków i opłat lokalnych</w:t>
      </w:r>
      <w:r>
        <w:rPr>
          <w:color w:val="000000"/>
          <w:szCs w:val="24"/>
        </w:rPr>
        <w:t xml:space="preserve"> są wpływy z tych dochodów w latach poprzednich. W latach historycznych dynamika dochodów tej grupy była zmienna, co wynikało ze zmiennej bazy objętej opodatkowaniem. Dochody z podatków i opłat lokalnych zdominowane są przez podatek od nieruchomości</w:t>
      </w:r>
      <w:r w:rsidR="00021B17">
        <w:rPr>
          <w:color w:val="000000"/>
          <w:szCs w:val="24"/>
        </w:rPr>
        <w:t xml:space="preserve"> – 3 990 000 zł.</w:t>
      </w:r>
      <w:r>
        <w:rPr>
          <w:color w:val="000000"/>
          <w:szCs w:val="24"/>
        </w:rPr>
        <w:t xml:space="preserve">, </w:t>
      </w:r>
      <w:r w:rsidR="00021B17">
        <w:rPr>
          <w:color w:val="000000"/>
          <w:szCs w:val="24"/>
        </w:rPr>
        <w:t xml:space="preserve">podatek rolny – </w:t>
      </w:r>
      <w:r w:rsidR="00021B17">
        <w:rPr>
          <w:color w:val="000000"/>
          <w:szCs w:val="24"/>
        </w:rPr>
        <w:lastRenderedPageBreak/>
        <w:t xml:space="preserve">407 800 zł., </w:t>
      </w:r>
      <w:r>
        <w:rPr>
          <w:color w:val="000000"/>
          <w:szCs w:val="24"/>
        </w:rPr>
        <w:t>podatek od środków transportowych</w:t>
      </w:r>
      <w:r w:rsidR="00021B17">
        <w:rPr>
          <w:color w:val="000000"/>
          <w:szCs w:val="24"/>
        </w:rPr>
        <w:t xml:space="preserve"> -  295 500 zł. </w:t>
      </w:r>
      <w:r>
        <w:rPr>
          <w:color w:val="000000"/>
          <w:szCs w:val="24"/>
        </w:rPr>
        <w:t xml:space="preserve"> i podatek od czynności cywilnoprawnych</w:t>
      </w:r>
      <w:r w:rsidR="00021B17">
        <w:rPr>
          <w:color w:val="000000"/>
          <w:szCs w:val="24"/>
        </w:rPr>
        <w:t xml:space="preserve"> – 150 000 zł.</w:t>
      </w:r>
      <w:r>
        <w:rPr>
          <w:color w:val="000000"/>
          <w:szCs w:val="24"/>
        </w:rPr>
        <w:t>. Do najważniejszych źródeł dochodów z tytułu opłat</w:t>
      </w:r>
      <w:r w:rsidR="009563DE">
        <w:rPr>
          <w:color w:val="000000"/>
          <w:szCs w:val="24"/>
        </w:rPr>
        <w:t xml:space="preserve"> (</w:t>
      </w:r>
      <w:r>
        <w:rPr>
          <w:color w:val="000000"/>
          <w:szCs w:val="24"/>
        </w:rPr>
        <w:t>należą wpływy z opłaty za gospodarowanie odpadami komunalnymi</w:t>
      </w:r>
      <w:r w:rsidR="009563DE">
        <w:rPr>
          <w:color w:val="000000"/>
          <w:szCs w:val="24"/>
        </w:rPr>
        <w:t xml:space="preserve"> – 850 000 zł., opłata eksploatacyjna – 110 000 zł.</w:t>
      </w:r>
      <w:r w:rsidR="00021B17">
        <w:rPr>
          <w:color w:val="000000"/>
          <w:szCs w:val="24"/>
        </w:rPr>
        <w:t>, opłata targowa – 110 000 zł.</w:t>
      </w:r>
      <w:r w:rsidR="009563DE">
        <w:rPr>
          <w:color w:val="000000"/>
          <w:szCs w:val="24"/>
        </w:rPr>
        <w:t xml:space="preserve"> . W 2014 roku oraz w latach kolejnych zakłada się wzrost wpływów z tego rodzaju źródeł o wskaźniki inflacji średniorocznej oraz dynamiki PKB.</w:t>
      </w:r>
      <w:r>
        <w:rPr>
          <w:color w:val="000000"/>
          <w:szCs w:val="24"/>
        </w:rPr>
        <w:t xml:space="preserve"> </w:t>
      </w:r>
    </w:p>
    <w:p w:rsidR="00B56CD0" w:rsidRDefault="009563DE" w:rsidP="00CC1649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 xml:space="preserve">W 2014 roku opłaty lokalne w stosunku do roku poprzedniego wykazują znaczny wzrost między innymi z powodu tzw. „opłaty śmieciowej”. W 2013 roku wpływy z tego tytułu na podstawie ustawy realizowane były za 6 miesięcy, natomiast w latach następnych zakłada się wzrost dochodów o wskaźnik inflacji. </w:t>
      </w:r>
    </w:p>
    <w:p w:rsidR="00B56CD0" w:rsidRDefault="009563DE" w:rsidP="00CC1649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ab/>
        <w:t xml:space="preserve">Dochody z tytułu </w:t>
      </w:r>
      <w:r w:rsidRPr="009563DE">
        <w:rPr>
          <w:b/>
          <w:i/>
          <w:color w:val="000000"/>
          <w:szCs w:val="24"/>
        </w:rPr>
        <w:t>udziałów w podatku dochodowym od osób fizycznych</w:t>
      </w:r>
      <w:r>
        <w:rPr>
          <w:color w:val="000000"/>
          <w:szCs w:val="24"/>
        </w:rPr>
        <w:t xml:space="preserve"> (PIT) oraz od </w:t>
      </w:r>
      <w:r w:rsidRPr="009563DE">
        <w:rPr>
          <w:b/>
          <w:i/>
          <w:color w:val="000000"/>
          <w:szCs w:val="24"/>
        </w:rPr>
        <w:t>osób prawnych</w:t>
      </w:r>
      <w:r>
        <w:rPr>
          <w:color w:val="000000"/>
          <w:szCs w:val="24"/>
        </w:rPr>
        <w:t xml:space="preserve"> (CIT) należą do najbardziej wrażliwych na zmiany w koniunkturze gospodarczej. Wpływ z tego tytułu przyjęto na rok 2014 w wysokości podanej przez Ministra Finansów, pismem z dnia 10 października 2013 r. Nr ST3/4820/10/2013. – 4 168 669 zł</w:t>
      </w:r>
      <w:r w:rsidR="00A57E45">
        <w:rPr>
          <w:color w:val="000000"/>
          <w:szCs w:val="24"/>
        </w:rPr>
        <w:t xml:space="preserve"> w latach następnych prognozuje się wzrost dochodów z tego tytułu średnio o ok. 1%.  Dochody z tytułu udziałów w podatku dochodowym od osób prawnych zostały zaplanowane w oparciu                       o przewidywane wykonanie za 2013 rok – 70 000 zł., następnie przeszacowane o założone wskaźniki inflacji średniorocznej oraz dynamikę PKB z uwzględnieniem rozwoju gospodarki lokalnej.</w:t>
      </w:r>
    </w:p>
    <w:p w:rsidR="009563DE" w:rsidRDefault="00A57E45" w:rsidP="00CC1649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ab/>
        <w:t xml:space="preserve">Na rok 2014  </w:t>
      </w:r>
      <w:r w:rsidRPr="0050241C">
        <w:rPr>
          <w:b/>
          <w:i/>
          <w:color w:val="000000"/>
          <w:szCs w:val="24"/>
        </w:rPr>
        <w:t>kwotę dotacji celowych na zadania z zakresu administracji rządowej                  i dochodów związanych z realizacją zadań z zakresu administracji rządowej</w:t>
      </w:r>
      <w:r>
        <w:rPr>
          <w:color w:val="000000"/>
          <w:szCs w:val="24"/>
        </w:rPr>
        <w:t xml:space="preserve"> przyjęto </w:t>
      </w:r>
      <w:r w:rsidR="0050241C">
        <w:rPr>
          <w:color w:val="000000"/>
          <w:szCs w:val="24"/>
        </w:rPr>
        <w:t xml:space="preserve">                     </w:t>
      </w:r>
      <w:r>
        <w:rPr>
          <w:color w:val="000000"/>
          <w:szCs w:val="24"/>
        </w:rPr>
        <w:t xml:space="preserve">w wielkości zgodnej z informacją Wojewody Mazowieckiego z dnia 25 października 2013 roku. Na lata </w:t>
      </w:r>
      <w:r w:rsidR="0050241C">
        <w:rPr>
          <w:color w:val="000000"/>
          <w:szCs w:val="24"/>
        </w:rPr>
        <w:t>następne</w:t>
      </w:r>
      <w:r>
        <w:rPr>
          <w:color w:val="000000"/>
          <w:szCs w:val="24"/>
        </w:rPr>
        <w:t xml:space="preserve"> wzrost dotacji przewiduje się w wysokości </w:t>
      </w:r>
      <w:r w:rsidR="0050241C">
        <w:rPr>
          <w:color w:val="000000"/>
          <w:szCs w:val="24"/>
        </w:rPr>
        <w:t>o ok. 2% oraz o kwoty dotacji, które występują w trakcie roku budżetowego min. z przeznaczeniem na zwrot podatku akcyzowego zawartego w cenie oleju napędowego dla rolników.</w:t>
      </w:r>
    </w:p>
    <w:p w:rsidR="0050241C" w:rsidRDefault="0050241C" w:rsidP="00052575">
      <w:pPr>
        <w:pStyle w:val="Tekstpodstawowy2"/>
        <w:ind w:right="-286" w:firstLine="708"/>
        <w:rPr>
          <w:color w:val="000000"/>
          <w:szCs w:val="24"/>
        </w:rPr>
      </w:pPr>
      <w:r w:rsidRPr="0050241C">
        <w:rPr>
          <w:b/>
          <w:i/>
          <w:color w:val="000000"/>
          <w:szCs w:val="24"/>
        </w:rPr>
        <w:t>Dotacje na zadania własne</w:t>
      </w:r>
      <w:r>
        <w:rPr>
          <w:color w:val="000000"/>
          <w:szCs w:val="24"/>
        </w:rPr>
        <w:t xml:space="preserve"> na rok 2014 przyjęto  w wielkości zgodnej z informacją Wojewody Mazowieckiego z dnia 25 października 2013 roku. Na lata następne wzrost dotacji przewiduje się w wysokości o ok. 2%.</w:t>
      </w:r>
    </w:p>
    <w:p w:rsidR="0050241C" w:rsidRDefault="0050241C" w:rsidP="00052575">
      <w:pPr>
        <w:pStyle w:val="Tekstpodstawowy2"/>
        <w:ind w:right="-286" w:firstLine="360"/>
        <w:rPr>
          <w:color w:val="000000"/>
          <w:szCs w:val="24"/>
        </w:rPr>
      </w:pPr>
      <w:r w:rsidRPr="0050241C">
        <w:rPr>
          <w:b/>
          <w:i/>
          <w:color w:val="000000"/>
          <w:szCs w:val="24"/>
        </w:rPr>
        <w:t>Dotacje celowe z UE na przedsięwzięcia finansowane z udziałem środków, o których mowa             w art. 5 ust. 1 pkt 2 i 3 ustawy o finansach publicznych</w:t>
      </w:r>
      <w:r>
        <w:rPr>
          <w:color w:val="000000"/>
          <w:szCs w:val="24"/>
        </w:rPr>
        <w:t xml:space="preserve"> zaplanowane zostały na podstawie zawartych umów i są zgodne z harmonogramem realizacji zadań:</w:t>
      </w:r>
    </w:p>
    <w:p w:rsidR="0050241C" w:rsidRDefault="0050241C" w:rsidP="0050241C">
      <w:pPr>
        <w:pStyle w:val="Tekstpodstawowy2"/>
        <w:numPr>
          <w:ilvl w:val="0"/>
          <w:numId w:val="13"/>
        </w:numPr>
        <w:ind w:right="-286"/>
        <w:rPr>
          <w:color w:val="000000"/>
          <w:szCs w:val="24"/>
        </w:rPr>
      </w:pPr>
      <w:r>
        <w:rPr>
          <w:color w:val="000000"/>
          <w:szCs w:val="24"/>
        </w:rPr>
        <w:t>„</w:t>
      </w:r>
      <w:r w:rsidRPr="0050241C">
        <w:rPr>
          <w:color w:val="000000"/>
          <w:szCs w:val="24"/>
        </w:rPr>
        <w:t>Budowa pomostu do cumowania kajaków przy rzece Pilicy - ul. Góra w Nowym Mieście nad Pilicą</w:t>
      </w:r>
      <w:r>
        <w:rPr>
          <w:color w:val="000000"/>
          <w:szCs w:val="24"/>
        </w:rPr>
        <w:t>” – 25 000 zł.,</w:t>
      </w:r>
    </w:p>
    <w:p w:rsidR="0050241C" w:rsidRDefault="0050241C" w:rsidP="0050241C">
      <w:pPr>
        <w:pStyle w:val="Tekstpodstawowy2"/>
        <w:numPr>
          <w:ilvl w:val="0"/>
          <w:numId w:val="13"/>
        </w:numPr>
        <w:ind w:right="-286"/>
        <w:rPr>
          <w:color w:val="000000"/>
          <w:szCs w:val="24"/>
        </w:rPr>
      </w:pPr>
      <w:r>
        <w:rPr>
          <w:color w:val="000000"/>
          <w:szCs w:val="24"/>
        </w:rPr>
        <w:lastRenderedPageBreak/>
        <w:t>„</w:t>
      </w:r>
      <w:r w:rsidRPr="0050241C">
        <w:rPr>
          <w:color w:val="000000"/>
          <w:szCs w:val="24"/>
        </w:rPr>
        <w:t xml:space="preserve">Rekultywacja kwater Nr I </w:t>
      </w:r>
      <w:proofErr w:type="spellStart"/>
      <w:r w:rsidRPr="0050241C">
        <w:rPr>
          <w:color w:val="000000"/>
          <w:szCs w:val="24"/>
        </w:rPr>
        <w:t>i</w:t>
      </w:r>
      <w:proofErr w:type="spellEnd"/>
      <w:r w:rsidRPr="0050241C">
        <w:rPr>
          <w:color w:val="000000"/>
          <w:szCs w:val="24"/>
        </w:rPr>
        <w:t xml:space="preserve"> II na składowisku odpadów komunalnych w Nowych Łęgonicach</w:t>
      </w:r>
      <w:r>
        <w:rPr>
          <w:color w:val="000000"/>
          <w:szCs w:val="24"/>
        </w:rPr>
        <w:t>” – 763 578 zł.,</w:t>
      </w:r>
    </w:p>
    <w:p w:rsidR="0050241C" w:rsidRDefault="0050241C" w:rsidP="0050241C">
      <w:pPr>
        <w:pStyle w:val="Tekstpodstawowy2"/>
        <w:numPr>
          <w:ilvl w:val="0"/>
          <w:numId w:val="13"/>
        </w:numPr>
        <w:ind w:right="-286"/>
        <w:rPr>
          <w:color w:val="000000"/>
          <w:szCs w:val="24"/>
        </w:rPr>
      </w:pPr>
      <w:r>
        <w:rPr>
          <w:color w:val="000000"/>
          <w:szCs w:val="24"/>
        </w:rPr>
        <w:t>„</w:t>
      </w:r>
      <w:r w:rsidRPr="0050241C">
        <w:rPr>
          <w:color w:val="000000"/>
          <w:szCs w:val="24"/>
        </w:rPr>
        <w:t>Budowa obiektu społeczno - kulturalnego w Nowym Mieście nad Pilicą przy pl. O.H. Koźmińskiego</w:t>
      </w:r>
      <w:r>
        <w:rPr>
          <w:color w:val="000000"/>
          <w:szCs w:val="24"/>
        </w:rPr>
        <w:t>” – 400 000 zł.</w:t>
      </w:r>
    </w:p>
    <w:p w:rsidR="0050241C" w:rsidRDefault="0050241C" w:rsidP="0050241C">
      <w:pPr>
        <w:pStyle w:val="Tekstpodstawowy2"/>
        <w:ind w:right="-286"/>
        <w:rPr>
          <w:b/>
          <w:color w:val="000000"/>
          <w:szCs w:val="24"/>
        </w:rPr>
      </w:pPr>
    </w:p>
    <w:p w:rsidR="0050241C" w:rsidRPr="00421B37" w:rsidRDefault="0050241C" w:rsidP="0050241C">
      <w:pPr>
        <w:pStyle w:val="Tekstpodstawowy2"/>
        <w:ind w:right="-286"/>
        <w:rPr>
          <w:b/>
          <w:color w:val="000000"/>
          <w:szCs w:val="24"/>
        </w:rPr>
      </w:pPr>
      <w:r>
        <w:rPr>
          <w:b/>
          <w:color w:val="000000"/>
          <w:szCs w:val="24"/>
        </w:rPr>
        <w:t>2. D</w:t>
      </w:r>
      <w:r w:rsidRPr="00421B37">
        <w:rPr>
          <w:b/>
          <w:color w:val="000000"/>
          <w:szCs w:val="24"/>
        </w:rPr>
        <w:t>ochody</w:t>
      </w:r>
      <w:r>
        <w:rPr>
          <w:b/>
          <w:color w:val="000000"/>
          <w:szCs w:val="24"/>
        </w:rPr>
        <w:t xml:space="preserve"> majątkowe</w:t>
      </w:r>
      <w:r w:rsidRPr="00421B37">
        <w:rPr>
          <w:b/>
          <w:color w:val="000000"/>
          <w:szCs w:val="24"/>
        </w:rPr>
        <w:t>.</w:t>
      </w:r>
    </w:p>
    <w:p w:rsidR="0050241C" w:rsidRDefault="0050241C" w:rsidP="0050241C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>W ramach tej grupy dochodów w latach 2014 – 2020 zaplanowane zostały</w:t>
      </w:r>
      <w:r w:rsidR="001C2E8D">
        <w:rPr>
          <w:color w:val="000000"/>
          <w:szCs w:val="24"/>
        </w:rPr>
        <w:t>:</w:t>
      </w:r>
    </w:p>
    <w:p w:rsidR="001C2E8D" w:rsidRDefault="00052575" w:rsidP="00052575">
      <w:pPr>
        <w:pStyle w:val="Tekstpodstawowy2"/>
        <w:numPr>
          <w:ilvl w:val="0"/>
          <w:numId w:val="14"/>
        </w:numPr>
        <w:ind w:right="-286"/>
        <w:rPr>
          <w:color w:val="000000"/>
          <w:szCs w:val="24"/>
        </w:rPr>
      </w:pPr>
      <w:r>
        <w:rPr>
          <w:color w:val="000000"/>
          <w:szCs w:val="24"/>
        </w:rPr>
        <w:t>dochody ze sprzedaży majątku,</w:t>
      </w:r>
    </w:p>
    <w:p w:rsidR="00052575" w:rsidRDefault="00052575" w:rsidP="00052575">
      <w:pPr>
        <w:pStyle w:val="Tekstpodstawowy2"/>
        <w:numPr>
          <w:ilvl w:val="0"/>
          <w:numId w:val="14"/>
        </w:numPr>
        <w:ind w:right="-286"/>
        <w:rPr>
          <w:color w:val="000000"/>
          <w:szCs w:val="24"/>
        </w:rPr>
      </w:pPr>
      <w:r>
        <w:rPr>
          <w:color w:val="000000"/>
          <w:szCs w:val="24"/>
        </w:rPr>
        <w:t xml:space="preserve">dotacje na inwestycje z budżetu państwa, z budżetów innych jst, z programów finansowanych z udziałem środków, o których mowa w art. 5 ust. 1 pkt 2 i 3 </w:t>
      </w:r>
      <w:proofErr w:type="spellStart"/>
      <w:r>
        <w:rPr>
          <w:color w:val="000000"/>
          <w:szCs w:val="24"/>
        </w:rPr>
        <w:t>u.f.p</w:t>
      </w:r>
      <w:proofErr w:type="spellEnd"/>
      <w:r>
        <w:rPr>
          <w:color w:val="000000"/>
          <w:szCs w:val="24"/>
        </w:rPr>
        <w:t>.</w:t>
      </w:r>
    </w:p>
    <w:p w:rsidR="009563DE" w:rsidRDefault="00052575" w:rsidP="00052575">
      <w:pPr>
        <w:pStyle w:val="Tekstpodstawowy2"/>
        <w:ind w:right="-286" w:firstLine="360"/>
        <w:rPr>
          <w:color w:val="000000"/>
          <w:szCs w:val="24"/>
        </w:rPr>
      </w:pPr>
      <w:r w:rsidRPr="00052575">
        <w:rPr>
          <w:b/>
          <w:i/>
          <w:color w:val="000000"/>
          <w:szCs w:val="24"/>
        </w:rPr>
        <w:t>Wpływy ze sprzedaży majątku</w:t>
      </w:r>
      <w:r>
        <w:rPr>
          <w:color w:val="000000"/>
          <w:szCs w:val="24"/>
        </w:rPr>
        <w:t xml:space="preserve"> są determinowane koniunkturą w gospodarce, w tym przede wszystkim na rynku nieruchomości. Obniżone tempo wzrostu gospodarczego w ostatnich latach negatywnie wpłynęło na sytuację na lokalnym rynku nieruchomości, co przekłada się na wielkość dochodów z tego tytułu. Dokonano oceny posiadanego przez Gminę mienia komunalnego przeznaczonego na sprzedaż. W latach 2014- 2020 Gmina nadal będzie prowadziła działania w zakresie racjonalnego  wykorzystania majątku w celu uzyskania jak najlepszych efektów ekonomicznych.</w:t>
      </w:r>
    </w:p>
    <w:p w:rsidR="009563DE" w:rsidRDefault="009563DE" w:rsidP="00FA1EDE">
      <w:pPr>
        <w:pStyle w:val="Tekstpodstawowy2"/>
        <w:ind w:right="-286"/>
        <w:rPr>
          <w:color w:val="000000"/>
          <w:szCs w:val="24"/>
        </w:rPr>
      </w:pPr>
    </w:p>
    <w:p w:rsidR="00FA1EDE" w:rsidRDefault="00FA1EDE" w:rsidP="00FA1EDE">
      <w:pPr>
        <w:pStyle w:val="Tekstpodstawowy2"/>
        <w:ind w:right="-286"/>
        <w:rPr>
          <w:b/>
          <w:color w:val="000000"/>
          <w:szCs w:val="24"/>
        </w:rPr>
      </w:pPr>
      <w:r w:rsidRPr="008E1579">
        <w:rPr>
          <w:b/>
          <w:color w:val="000000"/>
          <w:szCs w:val="24"/>
        </w:rPr>
        <w:t>I</w:t>
      </w:r>
      <w:r>
        <w:rPr>
          <w:b/>
          <w:color w:val="000000"/>
          <w:szCs w:val="24"/>
        </w:rPr>
        <w:t>I</w:t>
      </w:r>
      <w:r w:rsidR="003D4D87">
        <w:rPr>
          <w:b/>
          <w:color w:val="000000"/>
          <w:szCs w:val="24"/>
        </w:rPr>
        <w:t>I. PROG</w:t>
      </w:r>
      <w:r w:rsidRPr="008E1579">
        <w:rPr>
          <w:b/>
          <w:color w:val="000000"/>
          <w:szCs w:val="24"/>
        </w:rPr>
        <w:t xml:space="preserve">NOZOWANE </w:t>
      </w:r>
      <w:r>
        <w:rPr>
          <w:b/>
          <w:color w:val="000000"/>
          <w:szCs w:val="24"/>
        </w:rPr>
        <w:t>WYDATKI</w:t>
      </w:r>
      <w:r w:rsidRPr="008E1579">
        <w:rPr>
          <w:b/>
          <w:color w:val="000000"/>
          <w:szCs w:val="24"/>
        </w:rPr>
        <w:t>.</w:t>
      </w:r>
    </w:p>
    <w:p w:rsidR="009C79FE" w:rsidRPr="009C79FE" w:rsidRDefault="009C79FE" w:rsidP="00CC1649">
      <w:pPr>
        <w:pStyle w:val="Tekstpodstawowy2"/>
        <w:ind w:right="-286"/>
        <w:rPr>
          <w:b/>
          <w:color w:val="000000"/>
          <w:szCs w:val="24"/>
        </w:rPr>
      </w:pPr>
    </w:p>
    <w:p w:rsidR="009563DE" w:rsidRPr="009C79FE" w:rsidRDefault="009C79FE" w:rsidP="00CC1649">
      <w:pPr>
        <w:pStyle w:val="Tekstpodstawowy2"/>
        <w:ind w:right="-286"/>
        <w:rPr>
          <w:b/>
          <w:color w:val="000000"/>
          <w:szCs w:val="24"/>
        </w:rPr>
      </w:pPr>
      <w:r w:rsidRPr="009C79FE">
        <w:rPr>
          <w:b/>
          <w:color w:val="000000"/>
          <w:szCs w:val="24"/>
        </w:rPr>
        <w:t>Wydatki bieżące</w:t>
      </w:r>
    </w:p>
    <w:p w:rsidR="009563DE" w:rsidRDefault="00FA1EDE" w:rsidP="00FA1EDE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>Wydatki kalkulowano  przy uwzględnieniu możliwości dochodowych, jednak                         z uwzględnieniem analizy zadań bieżących koniecznych do realizacji oraz obligatoryjności wynikającej z przepisów obowiązującego prawa. Prognozę oparto na założeniu określonym       w art. 242 ust. 2 ustawy o finansach publicznych, polegającym na zachowaniu relacji, iż planowane wydatki bieżące nie mogą przewyższać dochodów bieżących (ewentualnie powiększone  o nadwyżkę budżetową z</w:t>
      </w:r>
      <w:r w:rsidR="00C15567">
        <w:rPr>
          <w:color w:val="000000"/>
          <w:szCs w:val="24"/>
        </w:rPr>
        <w:t xml:space="preserve"> lat ubiegłych i wolne środki). W związku z powyższym w latach 2014 – 2020 założono ograniczenie fakultatywnych wydatków bieżących w celu wypracowania jak największej nadwyżki operacyjnej przeznaczonej na zadania inwestycyjne.</w:t>
      </w:r>
      <w:r>
        <w:rPr>
          <w:color w:val="000000"/>
          <w:szCs w:val="24"/>
        </w:rPr>
        <w:t xml:space="preserve"> </w:t>
      </w:r>
    </w:p>
    <w:p w:rsidR="00C15567" w:rsidRDefault="00C15567" w:rsidP="00CC1649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>Na 2014 rok na wydatki ogółem zaplanowano 30 756 590 zł. , w tym na bieżące – 17 939 919 zł. i majątkowe 12 816 671 zł.</w:t>
      </w:r>
    </w:p>
    <w:p w:rsidR="00FA1EDE" w:rsidRDefault="00C15567" w:rsidP="009C79FE">
      <w:pPr>
        <w:pStyle w:val="Tekstpodstawowy2"/>
        <w:ind w:right="-286" w:firstLine="708"/>
        <w:rPr>
          <w:color w:val="000000"/>
          <w:szCs w:val="24"/>
        </w:rPr>
      </w:pPr>
      <w:r w:rsidRPr="00C15567">
        <w:rPr>
          <w:b/>
          <w:i/>
          <w:color w:val="000000"/>
          <w:szCs w:val="24"/>
        </w:rPr>
        <w:lastRenderedPageBreak/>
        <w:t>Wydatki na wynagrodzenia i pochodne od nich naliczone</w:t>
      </w:r>
      <w:r>
        <w:rPr>
          <w:color w:val="000000"/>
          <w:szCs w:val="24"/>
        </w:rPr>
        <w:t xml:space="preserve"> ustalono na poziomie zawartych umów o pracę na koniec 2013 roku. Na wydatki na wynagrodzenia i pochodne od wynagrodzeń dla pracowników oświaty i pracowników urzędu założono 5% wzrost.</w:t>
      </w:r>
    </w:p>
    <w:p w:rsidR="00C15567" w:rsidRDefault="00C15567" w:rsidP="009C79FE">
      <w:pPr>
        <w:pStyle w:val="Tekstpodstawowy2"/>
        <w:ind w:right="-286" w:firstLine="708"/>
        <w:rPr>
          <w:color w:val="000000"/>
          <w:szCs w:val="24"/>
        </w:rPr>
      </w:pPr>
      <w:r w:rsidRPr="00C15567">
        <w:rPr>
          <w:b/>
          <w:i/>
          <w:color w:val="000000"/>
          <w:szCs w:val="24"/>
        </w:rPr>
        <w:t>Na wydatki związane z funkcjonowaniem organów gminy</w:t>
      </w:r>
      <w:r>
        <w:rPr>
          <w:color w:val="000000"/>
          <w:szCs w:val="24"/>
        </w:rPr>
        <w:t xml:space="preserve"> nie przewiduje się  wzrost o ok. 1%. Zakup towarów i usług na poziomie przewidywanego wykonania za 2013 rok  w kolejnych latach wydatki bieżące </w:t>
      </w:r>
      <w:r w:rsidR="009C79FE">
        <w:rPr>
          <w:color w:val="000000"/>
          <w:szCs w:val="24"/>
        </w:rPr>
        <w:t>z wyżej wymienionych tytułów planuje się o wzrost ok. 1%.</w:t>
      </w:r>
      <w:r>
        <w:rPr>
          <w:color w:val="000000"/>
          <w:szCs w:val="24"/>
        </w:rPr>
        <w:t xml:space="preserve"> </w:t>
      </w:r>
    </w:p>
    <w:p w:rsidR="009C79FE" w:rsidRDefault="009C79FE" w:rsidP="009C79FE">
      <w:pPr>
        <w:pStyle w:val="Tekstpodstawowy2"/>
        <w:ind w:right="-286" w:firstLine="708"/>
        <w:rPr>
          <w:color w:val="000000"/>
          <w:szCs w:val="24"/>
        </w:rPr>
      </w:pPr>
      <w:r w:rsidRPr="009C79FE">
        <w:rPr>
          <w:b/>
          <w:i/>
          <w:color w:val="000000"/>
          <w:szCs w:val="24"/>
        </w:rPr>
        <w:t>Kwoty dotacji udzielonych z budżetu gminy</w:t>
      </w:r>
      <w:r>
        <w:rPr>
          <w:color w:val="000000"/>
          <w:szCs w:val="24"/>
        </w:rPr>
        <w:t xml:space="preserve"> przyjęto na podstawie zawartych umów bądź zaplanowanych do zawarcia, jak również zaplanowano dotacje dla podmiotów spoza sektora finansów publicznych na realizację zadań własnych Gminy.</w:t>
      </w:r>
    </w:p>
    <w:p w:rsidR="009C79FE" w:rsidRDefault="009C79FE" w:rsidP="009C79FE">
      <w:pPr>
        <w:pStyle w:val="Tekstpodstawowy2"/>
        <w:ind w:right="-286" w:firstLine="708"/>
        <w:rPr>
          <w:color w:val="000000"/>
          <w:szCs w:val="24"/>
        </w:rPr>
      </w:pPr>
      <w:r w:rsidRPr="009C79FE">
        <w:rPr>
          <w:b/>
          <w:i/>
          <w:color w:val="000000"/>
          <w:szCs w:val="24"/>
        </w:rPr>
        <w:t>Wydatki na obsługę długu</w:t>
      </w:r>
      <w:r>
        <w:rPr>
          <w:color w:val="000000"/>
          <w:szCs w:val="24"/>
        </w:rPr>
        <w:t xml:space="preserve"> zaplanowano na podstawie harmonogramów spłat zaciągniętych oraz planowanych do zaciągnięcia kredytów i pożyczek. Zarówno dla odsetek od zadłużenia istniejącego jak i zadłużenia prognozowanego przyjęto prognozowaną stawkę WIBOR6M.</w:t>
      </w:r>
    </w:p>
    <w:p w:rsidR="009C79FE" w:rsidRDefault="009C79FE" w:rsidP="009C79FE">
      <w:pPr>
        <w:pStyle w:val="Tekstpodstawowy2"/>
        <w:ind w:right="-286"/>
        <w:rPr>
          <w:color w:val="000000"/>
          <w:szCs w:val="24"/>
        </w:rPr>
      </w:pPr>
    </w:p>
    <w:p w:rsidR="009C79FE" w:rsidRPr="009C79FE" w:rsidRDefault="009C79FE" w:rsidP="009C79FE">
      <w:pPr>
        <w:pStyle w:val="Tekstpodstawowy2"/>
        <w:ind w:right="-286"/>
        <w:rPr>
          <w:b/>
          <w:color w:val="000000"/>
          <w:szCs w:val="24"/>
        </w:rPr>
      </w:pPr>
      <w:r w:rsidRPr="009C79FE">
        <w:rPr>
          <w:b/>
          <w:color w:val="000000"/>
          <w:szCs w:val="24"/>
        </w:rPr>
        <w:t>Wydatki majątkowe</w:t>
      </w:r>
    </w:p>
    <w:p w:rsidR="009C79FE" w:rsidRDefault="009C79FE" w:rsidP="00CC1649">
      <w:pPr>
        <w:pStyle w:val="Tekstpodstawowy2"/>
        <w:ind w:right="-286"/>
        <w:rPr>
          <w:color w:val="000000"/>
          <w:szCs w:val="24"/>
        </w:rPr>
      </w:pPr>
    </w:p>
    <w:p w:rsidR="009C79FE" w:rsidRDefault="009C79FE" w:rsidP="00CC1649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ab/>
        <w:t>Wydatki majątkowe zostały oszacowane na podstawie danych dotyczących wieloletnich przedsięwzięć o charakterze majątkowym oraz przedstawiono zadania inwestycyjne realizowane w cyklu jednorocznym w latach 2014 – 2020.</w:t>
      </w:r>
    </w:p>
    <w:p w:rsidR="009C79FE" w:rsidRDefault="009C79FE" w:rsidP="00CC1649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ab/>
        <w:t xml:space="preserve">W roku 2014 planuje się przeznaczyć na zadania inwestycyjne 12 816 671 zł., w tym współfinansowanych środkami z UE – 1 188 578 zł. </w:t>
      </w:r>
    </w:p>
    <w:p w:rsidR="0000391A" w:rsidRDefault="009C79FE" w:rsidP="009C79FE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W ramach wieloletniej prognozy finansowej uwagę zwracają zmiany w strukturze źródeł finansowania wydatków </w:t>
      </w:r>
      <w:r w:rsidR="0000391A">
        <w:rPr>
          <w:color w:val="000000"/>
          <w:szCs w:val="24"/>
        </w:rPr>
        <w:t xml:space="preserve">majątkowych. W 2014 roku w znacznym stopniu w finansowaniu zadań inwestycyjnych będą dominować  środki dłużne – planuje się zaciągnąć  9 870 381 zł. pożyczek i kredytów. Tak wysoki poziom pożyczek i kredytów związany jest z koniecznością zrealizowania w 2014 roku projektu wodno – kanalizacyjnego o wartości około 7 000 000 zł. , gdzie planuje się pozyskać środki unijne (trwa oczekiwanie na podpisanie umowy o przyznanie dofinansowania środkami unijnymi). W tej sytuacji aby zrealizować zaplanowane zadania planuje się zaciągnąć pożyczkę z WFOŚ i GW. </w:t>
      </w:r>
    </w:p>
    <w:p w:rsidR="009C79FE" w:rsidRDefault="0000391A" w:rsidP="009C79FE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Począwszy od roku 2015 głównym źródłem finansowania inwestycji będzie nadwyżka operacyjna. </w:t>
      </w:r>
    </w:p>
    <w:p w:rsidR="009C79FE" w:rsidRPr="00CA234F" w:rsidRDefault="00CA234F" w:rsidP="00CA234F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W 2014 roku planuje się </w:t>
      </w:r>
      <w:r w:rsidRPr="00CA234F">
        <w:rPr>
          <w:b/>
          <w:color w:val="000000"/>
          <w:szCs w:val="24"/>
        </w:rPr>
        <w:t>deficyt</w:t>
      </w:r>
      <w:r>
        <w:rPr>
          <w:b/>
          <w:color w:val="000000"/>
          <w:szCs w:val="24"/>
        </w:rPr>
        <w:t xml:space="preserve"> </w:t>
      </w:r>
      <w:r w:rsidRPr="00CA234F">
        <w:rPr>
          <w:color w:val="000000"/>
          <w:szCs w:val="24"/>
        </w:rPr>
        <w:t>w wysokości</w:t>
      </w:r>
      <w:r>
        <w:rPr>
          <w:b/>
          <w:color w:val="000000"/>
          <w:szCs w:val="24"/>
        </w:rPr>
        <w:t xml:space="preserve"> 9 580 381 zł., </w:t>
      </w:r>
      <w:r w:rsidRPr="00CA234F">
        <w:rPr>
          <w:color w:val="000000"/>
          <w:szCs w:val="24"/>
        </w:rPr>
        <w:t>natomiast w kolejnych latach nadwyżki budżetowe niezbędne do spłaty zobowiązań.</w:t>
      </w:r>
    </w:p>
    <w:p w:rsidR="00CA234F" w:rsidRDefault="00CA234F" w:rsidP="00CC1649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lastRenderedPageBreak/>
        <w:t>Przychody budżetu Gminy w 2014 roku w kwocie 9 870 381 zł. zostaną przeznaczone na sfinansowanie planowanego deficytu oraz na spłatę zobowiązań z tytułu zaciągniętych w latach ubiegłych pożyczek i pochodzić będą z zaciągniętych pożyczek i kredytów w kwocie 9 870 381 zł.</w:t>
      </w:r>
    </w:p>
    <w:p w:rsidR="00CA234F" w:rsidRDefault="00CA234F" w:rsidP="00CC1649">
      <w:pPr>
        <w:pStyle w:val="Tekstpodstawowy2"/>
        <w:ind w:right="-286"/>
        <w:rPr>
          <w:color w:val="000000"/>
          <w:szCs w:val="24"/>
        </w:rPr>
      </w:pPr>
    </w:p>
    <w:p w:rsidR="009C79FE" w:rsidRDefault="00CA234F" w:rsidP="00CC1649">
      <w:pPr>
        <w:pStyle w:val="Tekstpodstawowy2"/>
        <w:ind w:right="-286"/>
        <w:rPr>
          <w:color w:val="000000"/>
          <w:szCs w:val="24"/>
        </w:rPr>
      </w:pPr>
      <w:r w:rsidRPr="008E1579">
        <w:rPr>
          <w:b/>
          <w:color w:val="000000"/>
          <w:szCs w:val="24"/>
        </w:rPr>
        <w:t>I</w:t>
      </w:r>
      <w:r>
        <w:rPr>
          <w:b/>
          <w:color w:val="000000"/>
          <w:szCs w:val="24"/>
        </w:rPr>
        <w:t>V</w:t>
      </w:r>
      <w:r w:rsidRPr="008E1579">
        <w:rPr>
          <w:b/>
          <w:color w:val="000000"/>
          <w:szCs w:val="24"/>
        </w:rPr>
        <w:t>. PRODNOZ</w:t>
      </w:r>
      <w:r>
        <w:rPr>
          <w:b/>
          <w:color w:val="000000"/>
          <w:szCs w:val="24"/>
        </w:rPr>
        <w:t>A</w:t>
      </w:r>
      <w:r w:rsidRPr="008E1579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DŁUGU</w:t>
      </w:r>
    </w:p>
    <w:p w:rsidR="00CA234F" w:rsidRDefault="00CA234F" w:rsidP="00CC1649">
      <w:pPr>
        <w:pStyle w:val="Tekstpodstawowy2"/>
        <w:ind w:right="-286"/>
        <w:rPr>
          <w:color w:val="000000"/>
          <w:szCs w:val="24"/>
        </w:rPr>
      </w:pPr>
    </w:p>
    <w:p w:rsidR="009C79FE" w:rsidRDefault="00CA234F" w:rsidP="001B0986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>Zgodnie z zobowiązującymi przepisami dla budżetu jednostki samorządu terytorialnego</w:t>
      </w:r>
      <w:r w:rsidR="001B0986">
        <w:rPr>
          <w:color w:val="000000"/>
          <w:szCs w:val="24"/>
        </w:rPr>
        <w:t xml:space="preserve"> od 2014 roku zastosowanie będą miały przepisy art. 243-244 ustawy z dnia 27 sierpnia 2009 roku o finansach publicznych</w:t>
      </w:r>
    </w:p>
    <w:p w:rsidR="00CA234F" w:rsidRDefault="001B0986" w:rsidP="00CC1649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>Wartość relacji obowiązująca od 2014 roku, w tym po zastosowaniu ustawowych wyłączeń zaprezentowano w tabeli poniżej:</w:t>
      </w:r>
    </w:p>
    <w:p w:rsidR="00CA234F" w:rsidRDefault="00CA234F" w:rsidP="00CC1649">
      <w:pPr>
        <w:pStyle w:val="Tekstpodstawowy2"/>
        <w:ind w:right="-286"/>
        <w:rPr>
          <w:color w:val="000000"/>
          <w:szCs w:val="24"/>
        </w:rPr>
      </w:pPr>
    </w:p>
    <w:tbl>
      <w:tblPr>
        <w:tblStyle w:val="Tabela-Siatka"/>
        <w:tblW w:w="5248" w:type="pct"/>
        <w:tblLook w:val="04A0"/>
      </w:tblPr>
      <w:tblGrid>
        <w:gridCol w:w="1951"/>
        <w:gridCol w:w="850"/>
        <w:gridCol w:w="3404"/>
        <w:gridCol w:w="3542"/>
      </w:tblGrid>
      <w:tr w:rsidR="001B0986" w:rsidTr="00D306BC">
        <w:trPr>
          <w:trHeight w:val="853"/>
        </w:trPr>
        <w:tc>
          <w:tcPr>
            <w:tcW w:w="1001" w:type="pct"/>
            <w:vAlign w:val="center"/>
          </w:tcPr>
          <w:p w:rsidR="001B0986" w:rsidRPr="001B0986" w:rsidRDefault="001B0986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 w:rsidRPr="001B0986">
              <w:rPr>
                <w:b/>
                <w:color w:val="000000"/>
                <w:szCs w:val="24"/>
              </w:rPr>
              <w:t>Lata objęte zadłużeniem</w:t>
            </w:r>
          </w:p>
        </w:tc>
        <w:tc>
          <w:tcPr>
            <w:tcW w:w="436" w:type="pct"/>
            <w:vAlign w:val="center"/>
          </w:tcPr>
          <w:p w:rsidR="001B0986" w:rsidRPr="001B0986" w:rsidRDefault="001B0986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jm</w:t>
            </w:r>
            <w:proofErr w:type="spellEnd"/>
            <w:r>
              <w:rPr>
                <w:b/>
                <w:color w:val="000000"/>
                <w:szCs w:val="24"/>
              </w:rPr>
              <w:t>.</w:t>
            </w:r>
          </w:p>
        </w:tc>
        <w:tc>
          <w:tcPr>
            <w:tcW w:w="1746" w:type="pct"/>
            <w:vAlign w:val="center"/>
          </w:tcPr>
          <w:p w:rsidR="001B0986" w:rsidRDefault="001B0986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prognozowany </w:t>
            </w:r>
          </w:p>
          <w:p w:rsidR="001B0986" w:rsidRDefault="001B0986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indywidualny </w:t>
            </w:r>
          </w:p>
          <w:p w:rsidR="001B0986" w:rsidRPr="001B0986" w:rsidRDefault="001B0986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wskaźnik zadłużenia</w:t>
            </w:r>
          </w:p>
        </w:tc>
        <w:tc>
          <w:tcPr>
            <w:tcW w:w="1817" w:type="pct"/>
            <w:vAlign w:val="center"/>
          </w:tcPr>
          <w:p w:rsidR="001B0986" w:rsidRDefault="001B0986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dopuszczalny maksymalny </w:t>
            </w:r>
          </w:p>
          <w:p w:rsidR="001B0986" w:rsidRDefault="001B0986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wskaźnik  zadłużenia </w:t>
            </w:r>
          </w:p>
          <w:p w:rsidR="001B0986" w:rsidRPr="001B0986" w:rsidRDefault="001B0986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wyliczony </w:t>
            </w:r>
            <w:proofErr w:type="spellStart"/>
            <w:r>
              <w:rPr>
                <w:b/>
                <w:color w:val="000000"/>
                <w:szCs w:val="24"/>
              </w:rPr>
              <w:t>wg</w:t>
            </w:r>
            <w:proofErr w:type="spellEnd"/>
            <w:r>
              <w:rPr>
                <w:b/>
                <w:color w:val="000000"/>
                <w:szCs w:val="24"/>
              </w:rPr>
              <w:t>. art. 243</w:t>
            </w:r>
          </w:p>
        </w:tc>
      </w:tr>
      <w:tr w:rsidR="001B0986" w:rsidTr="001B0986">
        <w:tc>
          <w:tcPr>
            <w:tcW w:w="1001" w:type="pct"/>
          </w:tcPr>
          <w:p w:rsidR="001B0986" w:rsidRPr="0055720F" w:rsidRDefault="001B0986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 w:rsidRPr="0055720F">
              <w:rPr>
                <w:b/>
                <w:color w:val="000000"/>
                <w:szCs w:val="24"/>
              </w:rPr>
              <w:t>2014</w:t>
            </w:r>
          </w:p>
        </w:tc>
        <w:tc>
          <w:tcPr>
            <w:tcW w:w="436" w:type="pct"/>
          </w:tcPr>
          <w:p w:rsidR="001B0986" w:rsidRPr="0055720F" w:rsidRDefault="001B0986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 w:rsidRPr="0055720F">
              <w:rPr>
                <w:b/>
                <w:color w:val="000000"/>
                <w:szCs w:val="24"/>
              </w:rPr>
              <w:t>%</w:t>
            </w:r>
          </w:p>
        </w:tc>
        <w:tc>
          <w:tcPr>
            <w:tcW w:w="1746" w:type="pct"/>
          </w:tcPr>
          <w:p w:rsidR="001B0986" w:rsidRPr="0055720F" w:rsidRDefault="001B0986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 w:rsidRPr="0055720F">
              <w:rPr>
                <w:b/>
                <w:color w:val="000000"/>
                <w:szCs w:val="24"/>
              </w:rPr>
              <w:t>1,46</w:t>
            </w:r>
          </w:p>
        </w:tc>
        <w:tc>
          <w:tcPr>
            <w:tcW w:w="1817" w:type="pct"/>
          </w:tcPr>
          <w:p w:rsidR="001B0986" w:rsidRPr="0055720F" w:rsidRDefault="0055720F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 w:rsidRPr="0055720F">
              <w:rPr>
                <w:b/>
                <w:color w:val="000000"/>
                <w:szCs w:val="24"/>
              </w:rPr>
              <w:t>13,1</w:t>
            </w:r>
            <w:r w:rsidR="001B0986" w:rsidRPr="0055720F">
              <w:rPr>
                <w:b/>
                <w:color w:val="000000"/>
                <w:szCs w:val="24"/>
              </w:rPr>
              <w:t>6</w:t>
            </w:r>
          </w:p>
        </w:tc>
      </w:tr>
      <w:tr w:rsidR="001B0986" w:rsidTr="001B0986">
        <w:tc>
          <w:tcPr>
            <w:tcW w:w="1001" w:type="pct"/>
          </w:tcPr>
          <w:p w:rsidR="001B0986" w:rsidRPr="0055720F" w:rsidRDefault="001B0986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 w:rsidRPr="0055720F">
              <w:rPr>
                <w:b/>
                <w:color w:val="000000"/>
                <w:szCs w:val="24"/>
              </w:rPr>
              <w:t>2015</w:t>
            </w:r>
          </w:p>
        </w:tc>
        <w:tc>
          <w:tcPr>
            <w:tcW w:w="436" w:type="pct"/>
          </w:tcPr>
          <w:p w:rsidR="001B0986" w:rsidRPr="0055720F" w:rsidRDefault="001B0986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 w:rsidRPr="0055720F">
              <w:rPr>
                <w:b/>
                <w:color w:val="000000"/>
                <w:szCs w:val="24"/>
              </w:rPr>
              <w:t>%</w:t>
            </w:r>
          </w:p>
        </w:tc>
        <w:tc>
          <w:tcPr>
            <w:tcW w:w="1746" w:type="pct"/>
          </w:tcPr>
          <w:p w:rsidR="001B0986" w:rsidRPr="0055720F" w:rsidRDefault="001B0986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 w:rsidRPr="0055720F">
              <w:rPr>
                <w:b/>
                <w:color w:val="000000"/>
                <w:szCs w:val="24"/>
              </w:rPr>
              <w:t>6,07</w:t>
            </w:r>
          </w:p>
        </w:tc>
        <w:tc>
          <w:tcPr>
            <w:tcW w:w="1817" w:type="pct"/>
          </w:tcPr>
          <w:p w:rsidR="001B0986" w:rsidRPr="0055720F" w:rsidRDefault="0055720F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 w:rsidRPr="0055720F">
              <w:rPr>
                <w:b/>
                <w:color w:val="000000"/>
                <w:szCs w:val="24"/>
              </w:rPr>
              <w:t>12,7</w:t>
            </w:r>
            <w:r w:rsidR="001B0986" w:rsidRPr="0055720F">
              <w:rPr>
                <w:b/>
                <w:color w:val="000000"/>
                <w:szCs w:val="24"/>
              </w:rPr>
              <w:t>6</w:t>
            </w:r>
          </w:p>
        </w:tc>
      </w:tr>
      <w:tr w:rsidR="001B0986" w:rsidTr="001B0986">
        <w:tc>
          <w:tcPr>
            <w:tcW w:w="1001" w:type="pct"/>
          </w:tcPr>
          <w:p w:rsidR="001B0986" w:rsidRPr="0055720F" w:rsidRDefault="001B0986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 w:rsidRPr="0055720F">
              <w:rPr>
                <w:b/>
                <w:color w:val="000000"/>
                <w:szCs w:val="24"/>
              </w:rPr>
              <w:t>2016</w:t>
            </w:r>
          </w:p>
        </w:tc>
        <w:tc>
          <w:tcPr>
            <w:tcW w:w="436" w:type="pct"/>
          </w:tcPr>
          <w:p w:rsidR="001B0986" w:rsidRPr="0055720F" w:rsidRDefault="001B0986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 w:rsidRPr="0055720F">
              <w:rPr>
                <w:b/>
                <w:color w:val="000000"/>
                <w:szCs w:val="24"/>
              </w:rPr>
              <w:t>%</w:t>
            </w:r>
          </w:p>
        </w:tc>
        <w:tc>
          <w:tcPr>
            <w:tcW w:w="1746" w:type="pct"/>
          </w:tcPr>
          <w:p w:rsidR="001B0986" w:rsidRPr="0055720F" w:rsidRDefault="001B0986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 w:rsidRPr="0055720F">
              <w:rPr>
                <w:b/>
                <w:color w:val="000000"/>
                <w:szCs w:val="24"/>
              </w:rPr>
              <w:t>6,74</w:t>
            </w:r>
          </w:p>
        </w:tc>
        <w:tc>
          <w:tcPr>
            <w:tcW w:w="1817" w:type="pct"/>
          </w:tcPr>
          <w:p w:rsidR="001B0986" w:rsidRPr="0055720F" w:rsidRDefault="0055720F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 w:rsidRPr="0055720F">
              <w:rPr>
                <w:b/>
                <w:color w:val="000000"/>
                <w:szCs w:val="24"/>
              </w:rPr>
              <w:t>12,85</w:t>
            </w:r>
          </w:p>
        </w:tc>
      </w:tr>
      <w:tr w:rsidR="001B0986" w:rsidTr="001B0986">
        <w:tc>
          <w:tcPr>
            <w:tcW w:w="1001" w:type="pct"/>
          </w:tcPr>
          <w:p w:rsidR="001B0986" w:rsidRPr="0055720F" w:rsidRDefault="001B0986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 w:rsidRPr="0055720F">
              <w:rPr>
                <w:b/>
                <w:color w:val="000000"/>
                <w:szCs w:val="24"/>
              </w:rPr>
              <w:t>2017</w:t>
            </w:r>
          </w:p>
        </w:tc>
        <w:tc>
          <w:tcPr>
            <w:tcW w:w="436" w:type="pct"/>
          </w:tcPr>
          <w:p w:rsidR="001B0986" w:rsidRPr="0055720F" w:rsidRDefault="001B0986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 w:rsidRPr="0055720F">
              <w:rPr>
                <w:b/>
                <w:color w:val="000000"/>
                <w:szCs w:val="24"/>
              </w:rPr>
              <w:t>%</w:t>
            </w:r>
          </w:p>
        </w:tc>
        <w:tc>
          <w:tcPr>
            <w:tcW w:w="1746" w:type="pct"/>
          </w:tcPr>
          <w:p w:rsidR="001B0986" w:rsidRPr="0055720F" w:rsidRDefault="0055720F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 w:rsidRPr="0055720F">
              <w:rPr>
                <w:b/>
                <w:color w:val="000000"/>
                <w:szCs w:val="24"/>
              </w:rPr>
              <w:t>7,38</w:t>
            </w:r>
          </w:p>
        </w:tc>
        <w:tc>
          <w:tcPr>
            <w:tcW w:w="1817" w:type="pct"/>
          </w:tcPr>
          <w:p w:rsidR="001B0986" w:rsidRPr="0055720F" w:rsidRDefault="0055720F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 w:rsidRPr="0055720F">
              <w:rPr>
                <w:b/>
                <w:color w:val="000000"/>
                <w:szCs w:val="24"/>
              </w:rPr>
              <w:t>14,09</w:t>
            </w:r>
          </w:p>
        </w:tc>
      </w:tr>
      <w:tr w:rsidR="001B0986" w:rsidTr="001B0986">
        <w:tc>
          <w:tcPr>
            <w:tcW w:w="1001" w:type="pct"/>
          </w:tcPr>
          <w:p w:rsidR="001B0986" w:rsidRPr="0055720F" w:rsidRDefault="001B0986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 w:rsidRPr="0055720F">
              <w:rPr>
                <w:b/>
                <w:color w:val="000000"/>
                <w:szCs w:val="24"/>
              </w:rPr>
              <w:t>2018</w:t>
            </w:r>
          </w:p>
        </w:tc>
        <w:tc>
          <w:tcPr>
            <w:tcW w:w="436" w:type="pct"/>
          </w:tcPr>
          <w:p w:rsidR="001B0986" w:rsidRPr="0055720F" w:rsidRDefault="001B0986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 w:rsidRPr="0055720F">
              <w:rPr>
                <w:b/>
                <w:color w:val="000000"/>
                <w:szCs w:val="24"/>
              </w:rPr>
              <w:t>%</w:t>
            </w:r>
          </w:p>
        </w:tc>
        <w:tc>
          <w:tcPr>
            <w:tcW w:w="1746" w:type="pct"/>
          </w:tcPr>
          <w:p w:rsidR="001B0986" w:rsidRPr="0055720F" w:rsidRDefault="0055720F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 w:rsidRPr="0055720F">
              <w:rPr>
                <w:b/>
                <w:color w:val="000000"/>
                <w:szCs w:val="24"/>
              </w:rPr>
              <w:t>7,21</w:t>
            </w:r>
          </w:p>
        </w:tc>
        <w:tc>
          <w:tcPr>
            <w:tcW w:w="1817" w:type="pct"/>
          </w:tcPr>
          <w:p w:rsidR="001B0986" w:rsidRPr="0055720F" w:rsidRDefault="0055720F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 w:rsidRPr="0055720F">
              <w:rPr>
                <w:b/>
                <w:color w:val="000000"/>
                <w:szCs w:val="24"/>
              </w:rPr>
              <w:t>17,37</w:t>
            </w:r>
          </w:p>
        </w:tc>
      </w:tr>
      <w:tr w:rsidR="001B0986" w:rsidTr="001B0986">
        <w:tc>
          <w:tcPr>
            <w:tcW w:w="1001" w:type="pct"/>
          </w:tcPr>
          <w:p w:rsidR="001B0986" w:rsidRPr="0055720F" w:rsidRDefault="001B0986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 w:rsidRPr="0055720F">
              <w:rPr>
                <w:b/>
                <w:color w:val="000000"/>
                <w:szCs w:val="24"/>
              </w:rPr>
              <w:t>2019</w:t>
            </w:r>
          </w:p>
        </w:tc>
        <w:tc>
          <w:tcPr>
            <w:tcW w:w="436" w:type="pct"/>
          </w:tcPr>
          <w:p w:rsidR="001B0986" w:rsidRPr="0055720F" w:rsidRDefault="001B0986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 w:rsidRPr="0055720F">
              <w:rPr>
                <w:b/>
                <w:color w:val="000000"/>
                <w:szCs w:val="24"/>
              </w:rPr>
              <w:t>%</w:t>
            </w:r>
          </w:p>
        </w:tc>
        <w:tc>
          <w:tcPr>
            <w:tcW w:w="1746" w:type="pct"/>
          </w:tcPr>
          <w:p w:rsidR="001B0986" w:rsidRPr="0055720F" w:rsidRDefault="0055720F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 w:rsidRPr="0055720F">
              <w:rPr>
                <w:b/>
                <w:color w:val="000000"/>
                <w:szCs w:val="24"/>
              </w:rPr>
              <w:t>7,06</w:t>
            </w:r>
          </w:p>
        </w:tc>
        <w:tc>
          <w:tcPr>
            <w:tcW w:w="1817" w:type="pct"/>
          </w:tcPr>
          <w:p w:rsidR="001B0986" w:rsidRPr="0055720F" w:rsidRDefault="0055720F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 w:rsidRPr="0055720F">
              <w:rPr>
                <w:b/>
                <w:color w:val="000000"/>
                <w:szCs w:val="24"/>
              </w:rPr>
              <w:t>18,69</w:t>
            </w:r>
          </w:p>
        </w:tc>
      </w:tr>
      <w:tr w:rsidR="001B0986" w:rsidTr="001B0986">
        <w:tc>
          <w:tcPr>
            <w:tcW w:w="1001" w:type="pct"/>
          </w:tcPr>
          <w:p w:rsidR="001B0986" w:rsidRPr="0055720F" w:rsidRDefault="001B0986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 w:rsidRPr="0055720F">
              <w:rPr>
                <w:b/>
                <w:color w:val="000000"/>
                <w:szCs w:val="24"/>
              </w:rPr>
              <w:t>2020</w:t>
            </w:r>
          </w:p>
        </w:tc>
        <w:tc>
          <w:tcPr>
            <w:tcW w:w="436" w:type="pct"/>
          </w:tcPr>
          <w:p w:rsidR="001B0986" w:rsidRPr="0055720F" w:rsidRDefault="001B0986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 w:rsidRPr="0055720F">
              <w:rPr>
                <w:b/>
                <w:color w:val="000000"/>
                <w:szCs w:val="24"/>
              </w:rPr>
              <w:t>%</w:t>
            </w:r>
          </w:p>
        </w:tc>
        <w:tc>
          <w:tcPr>
            <w:tcW w:w="1746" w:type="pct"/>
          </w:tcPr>
          <w:p w:rsidR="001B0986" w:rsidRPr="0055720F" w:rsidRDefault="0055720F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 w:rsidRPr="0055720F">
              <w:rPr>
                <w:b/>
                <w:color w:val="000000"/>
                <w:szCs w:val="24"/>
              </w:rPr>
              <w:t>8,87</w:t>
            </w:r>
          </w:p>
        </w:tc>
        <w:tc>
          <w:tcPr>
            <w:tcW w:w="1817" w:type="pct"/>
          </w:tcPr>
          <w:p w:rsidR="001B0986" w:rsidRPr="0055720F" w:rsidRDefault="0055720F" w:rsidP="001B0986">
            <w:pPr>
              <w:pStyle w:val="Tekstpodstawowy2"/>
              <w:ind w:right="-286"/>
              <w:jc w:val="center"/>
              <w:rPr>
                <w:b/>
                <w:color w:val="000000"/>
                <w:szCs w:val="24"/>
              </w:rPr>
            </w:pPr>
            <w:r w:rsidRPr="0055720F">
              <w:rPr>
                <w:b/>
                <w:color w:val="000000"/>
                <w:szCs w:val="24"/>
              </w:rPr>
              <w:t>18,50</w:t>
            </w:r>
          </w:p>
        </w:tc>
      </w:tr>
    </w:tbl>
    <w:p w:rsidR="001B0986" w:rsidRDefault="001B0986" w:rsidP="00CC1649">
      <w:pPr>
        <w:pStyle w:val="Tekstpodstawowy2"/>
        <w:ind w:right="-286"/>
        <w:rPr>
          <w:color w:val="000000"/>
          <w:szCs w:val="24"/>
        </w:rPr>
      </w:pPr>
    </w:p>
    <w:p w:rsidR="00CA234F" w:rsidRDefault="0055720F" w:rsidP="0055720F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>W latach 2015 – 2020 nie jest planowane zaciąganie dodatkowych kredytów, tak więc           w planowanym poziomie zadłużenia na koniec poszczególnych lat uwzględniono jedynie spłaty rat kredytów wynikające  z harmonogramów spłat zawartych w umowach pożyczkowych oraz planowanych do zaciągnięcia w 2014 roku.</w:t>
      </w:r>
    </w:p>
    <w:p w:rsidR="0055720F" w:rsidRDefault="0055720F" w:rsidP="00CC1649">
      <w:pPr>
        <w:pStyle w:val="Tekstpodstawowy2"/>
        <w:ind w:right="-286"/>
        <w:rPr>
          <w:color w:val="000000"/>
          <w:szCs w:val="24"/>
        </w:rPr>
      </w:pPr>
    </w:p>
    <w:p w:rsidR="0084455E" w:rsidRDefault="00CC1649" w:rsidP="0055720F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>W prognozowanych podstawowych wielkościach budżetu, zarówno dochodach jak            i wydatkach, w kolejnych latach nie występują znaczne odchylenia.</w:t>
      </w:r>
      <w:r w:rsidR="001C0CA6">
        <w:rPr>
          <w:color w:val="000000"/>
          <w:szCs w:val="24"/>
        </w:rPr>
        <w:t xml:space="preserve"> </w:t>
      </w:r>
      <w:r w:rsidR="0055720F">
        <w:rPr>
          <w:color w:val="000000"/>
          <w:szCs w:val="24"/>
        </w:rPr>
        <w:t>Zastosowano r</w:t>
      </w:r>
      <w:r w:rsidR="003B769E">
        <w:rPr>
          <w:color w:val="000000"/>
          <w:szCs w:val="24"/>
        </w:rPr>
        <w:t>ealny w</w:t>
      </w:r>
      <w:r w:rsidR="001C0CA6">
        <w:rPr>
          <w:color w:val="000000"/>
          <w:szCs w:val="24"/>
        </w:rPr>
        <w:t>skaźnik wzrostu dochodów bieżących w</w:t>
      </w:r>
      <w:r w:rsidR="0055720F">
        <w:rPr>
          <w:color w:val="000000"/>
          <w:szCs w:val="24"/>
        </w:rPr>
        <w:t xml:space="preserve"> poszczególnych latach prognozy. </w:t>
      </w:r>
      <w:r w:rsidR="00A93596">
        <w:rPr>
          <w:color w:val="000000"/>
          <w:szCs w:val="24"/>
        </w:rPr>
        <w:t>Natomiast konstrukcja finansów budżetu gminy po stronie wydatk</w:t>
      </w:r>
      <w:r w:rsidR="003B769E">
        <w:rPr>
          <w:color w:val="000000"/>
          <w:szCs w:val="24"/>
        </w:rPr>
        <w:t>ów bieżących</w:t>
      </w:r>
      <w:r w:rsidR="00A93596">
        <w:rPr>
          <w:color w:val="000000"/>
          <w:szCs w:val="24"/>
        </w:rPr>
        <w:t xml:space="preserve"> jest oszczędna. Wzrost </w:t>
      </w:r>
      <w:r w:rsidR="00A93596">
        <w:rPr>
          <w:color w:val="000000"/>
          <w:szCs w:val="24"/>
        </w:rPr>
        <w:lastRenderedPageBreak/>
        <w:t>wydatków</w:t>
      </w:r>
      <w:r w:rsidR="0044144F">
        <w:rPr>
          <w:color w:val="000000"/>
          <w:szCs w:val="24"/>
        </w:rPr>
        <w:t xml:space="preserve"> bieżących</w:t>
      </w:r>
      <w:r w:rsidR="00A93596">
        <w:rPr>
          <w:color w:val="000000"/>
          <w:szCs w:val="24"/>
        </w:rPr>
        <w:t>w latach 201</w:t>
      </w:r>
      <w:r w:rsidR="0044144F">
        <w:rPr>
          <w:color w:val="000000"/>
          <w:szCs w:val="24"/>
        </w:rPr>
        <w:t>4 – 2020</w:t>
      </w:r>
      <w:r w:rsidR="00A93596">
        <w:rPr>
          <w:color w:val="000000"/>
          <w:szCs w:val="24"/>
        </w:rPr>
        <w:t xml:space="preserve">  nie powinien przekraczać </w:t>
      </w:r>
      <w:r w:rsidR="003B769E">
        <w:rPr>
          <w:color w:val="000000"/>
          <w:szCs w:val="24"/>
        </w:rPr>
        <w:t>3</w:t>
      </w:r>
      <w:r w:rsidR="00A93596">
        <w:rPr>
          <w:color w:val="000000"/>
          <w:szCs w:val="24"/>
        </w:rPr>
        <w:t>%.</w:t>
      </w:r>
      <w:r w:rsidR="003B769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Realne oszacowanie wzrostu dochodów budżetowych oraz ustalenie na minimalnym poziomie wydatków bieżących, przez ograniczenie do niezbędnego minimum wydatków elastycznych w poszczególnych latach prognozy pozwoliło wypracować środ</w:t>
      </w:r>
      <w:r w:rsidR="00C76B55">
        <w:rPr>
          <w:color w:val="000000"/>
          <w:szCs w:val="24"/>
        </w:rPr>
        <w:t xml:space="preserve">ki, które mogą być przeznaczone w pierwszej kolejności na spłatę zadłużenia oraz </w:t>
      </w:r>
      <w:r>
        <w:rPr>
          <w:color w:val="000000"/>
          <w:szCs w:val="24"/>
        </w:rPr>
        <w:t>na realizację zadań inwestycyjnych</w:t>
      </w:r>
      <w:r w:rsidR="00C76B55">
        <w:rPr>
          <w:color w:val="000000"/>
          <w:szCs w:val="24"/>
        </w:rPr>
        <w:t>.</w:t>
      </w:r>
      <w:r w:rsidR="0084455E">
        <w:rPr>
          <w:color w:val="000000"/>
          <w:szCs w:val="24"/>
        </w:rPr>
        <w:t xml:space="preserve"> </w:t>
      </w:r>
    </w:p>
    <w:p w:rsidR="00C76B55" w:rsidRDefault="00C76B55" w:rsidP="00CC1649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ab/>
        <w:t>Środki na inwestycje</w:t>
      </w:r>
      <w:r w:rsidR="0055720F">
        <w:rPr>
          <w:color w:val="000000"/>
          <w:szCs w:val="24"/>
        </w:rPr>
        <w:t xml:space="preserve"> w latach 2015 -2020 </w:t>
      </w:r>
      <w:r>
        <w:rPr>
          <w:color w:val="000000"/>
          <w:szCs w:val="24"/>
        </w:rPr>
        <w:t xml:space="preserve"> oscylują w granicach </w:t>
      </w:r>
      <w:r w:rsidR="00CC1649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od kwoty </w:t>
      </w:r>
      <w:r w:rsidR="00E658AC">
        <w:rPr>
          <w:color w:val="000000"/>
          <w:szCs w:val="24"/>
        </w:rPr>
        <w:t xml:space="preserve">ok. </w:t>
      </w:r>
      <w:r w:rsidR="0055720F">
        <w:rPr>
          <w:color w:val="000000"/>
          <w:szCs w:val="24"/>
        </w:rPr>
        <w:t>2 600 000</w:t>
      </w:r>
      <w:r>
        <w:rPr>
          <w:color w:val="000000"/>
          <w:szCs w:val="24"/>
        </w:rPr>
        <w:t xml:space="preserve"> zł. do kwoty </w:t>
      </w:r>
      <w:r w:rsidR="0055720F">
        <w:rPr>
          <w:color w:val="000000"/>
          <w:szCs w:val="24"/>
        </w:rPr>
        <w:t>4 800 000</w:t>
      </w:r>
      <w:r>
        <w:rPr>
          <w:color w:val="000000"/>
          <w:szCs w:val="24"/>
        </w:rPr>
        <w:t xml:space="preserve"> zł..</w:t>
      </w:r>
    </w:p>
    <w:p w:rsidR="0084455E" w:rsidRDefault="0084455E" w:rsidP="0084455E">
      <w:pPr>
        <w:pStyle w:val="Tekstpodstawowy2"/>
        <w:ind w:right="-286"/>
        <w:rPr>
          <w:color w:val="000000"/>
          <w:szCs w:val="24"/>
        </w:rPr>
      </w:pPr>
      <w:r>
        <w:rPr>
          <w:color w:val="000000"/>
          <w:szCs w:val="24"/>
        </w:rPr>
        <w:tab/>
        <w:t>Określona kwota długu gminy wynika z sumy dotychczas zaciągniętych i planowanych  zobowiązań pomniejszonych o planowane spłaty. Poziom zadłużenia w k</w:t>
      </w:r>
      <w:r w:rsidR="0055720F">
        <w:rPr>
          <w:color w:val="000000"/>
          <w:szCs w:val="24"/>
        </w:rPr>
        <w:t>olejnych latach prognozy maleje</w:t>
      </w:r>
      <w:r w:rsidR="00C76B55">
        <w:rPr>
          <w:color w:val="000000"/>
          <w:szCs w:val="24"/>
        </w:rPr>
        <w:t>. Spłaty zadłużenia (raty + obsługa długu) nie spowodują zachwiania płynności finansowej budżetu miasta i gminy.</w:t>
      </w:r>
    </w:p>
    <w:p w:rsidR="006979EB" w:rsidRPr="0091226A" w:rsidRDefault="006979EB" w:rsidP="00983181">
      <w:pPr>
        <w:pStyle w:val="Tekstpodstawowy2"/>
        <w:ind w:right="-286"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Wieloletnia prognoza finansowa daje możliwość racjonalnego prognozowania gospodarki finansowej jednostki samorządu terytorialnego w dłuższym horyzoncie czasu, w sposób </w:t>
      </w:r>
      <w:r w:rsidR="000D5F25">
        <w:rPr>
          <w:color w:val="000000"/>
          <w:szCs w:val="24"/>
        </w:rPr>
        <w:t>pozwalający</w:t>
      </w:r>
      <w:r>
        <w:rPr>
          <w:color w:val="000000"/>
          <w:szCs w:val="24"/>
        </w:rPr>
        <w:t xml:space="preserve"> na </w:t>
      </w:r>
      <w:r w:rsidR="000D5F25">
        <w:rPr>
          <w:color w:val="000000"/>
          <w:szCs w:val="24"/>
        </w:rPr>
        <w:t>analizę możliwo</w:t>
      </w:r>
      <w:r w:rsidR="00F46793">
        <w:rPr>
          <w:color w:val="000000"/>
          <w:szCs w:val="24"/>
        </w:rPr>
        <w:t>ści inwestycyjnych oraz związaną</w:t>
      </w:r>
      <w:r w:rsidR="000D5F25">
        <w:rPr>
          <w:color w:val="000000"/>
          <w:szCs w:val="24"/>
        </w:rPr>
        <w:t xml:space="preserve"> z tym ocenę możliwości zaciągania i spłaty zadłużenia.</w:t>
      </w:r>
      <w:r>
        <w:rPr>
          <w:color w:val="000000"/>
          <w:szCs w:val="24"/>
        </w:rPr>
        <w:t xml:space="preserve"> </w:t>
      </w:r>
    </w:p>
    <w:p w:rsidR="00787AB3" w:rsidRDefault="00787AB3" w:rsidP="00983181">
      <w:pPr>
        <w:spacing w:line="360" w:lineRule="auto"/>
        <w:rPr>
          <w:rFonts w:ascii="Times New Roman" w:hAnsi="Times New Roman" w:cs="Times New Roman"/>
        </w:rPr>
      </w:pPr>
    </w:p>
    <w:p w:rsidR="0055720F" w:rsidRDefault="0055720F" w:rsidP="0055720F">
      <w:pPr>
        <w:pStyle w:val="Tekstpodstawowy2"/>
        <w:ind w:right="-286"/>
        <w:rPr>
          <w:b/>
          <w:color w:val="000000"/>
          <w:szCs w:val="24"/>
        </w:rPr>
      </w:pPr>
      <w:r>
        <w:rPr>
          <w:b/>
          <w:color w:val="000000"/>
          <w:szCs w:val="24"/>
        </w:rPr>
        <w:t>V</w:t>
      </w:r>
      <w:r w:rsidRPr="008E1579">
        <w:rPr>
          <w:b/>
          <w:color w:val="000000"/>
          <w:szCs w:val="24"/>
        </w:rPr>
        <w:t xml:space="preserve">. </w:t>
      </w:r>
      <w:r>
        <w:rPr>
          <w:b/>
          <w:color w:val="000000"/>
          <w:szCs w:val="24"/>
        </w:rPr>
        <w:t>WIELOLETNIE PRZEDSIĘWZIĘCIA</w:t>
      </w:r>
    </w:p>
    <w:p w:rsidR="0055720F" w:rsidRPr="0055720F" w:rsidRDefault="0055720F" w:rsidP="0055720F">
      <w:pPr>
        <w:pStyle w:val="Tekstpodstawowy2"/>
        <w:ind w:right="-286"/>
        <w:rPr>
          <w:color w:val="000000"/>
          <w:szCs w:val="24"/>
        </w:rPr>
      </w:pPr>
    </w:p>
    <w:p w:rsidR="00BD6723" w:rsidRPr="0055720F" w:rsidRDefault="0055720F" w:rsidP="00D306B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20F">
        <w:rPr>
          <w:rFonts w:ascii="Times New Roman" w:hAnsi="Times New Roman" w:cs="Times New Roman"/>
          <w:sz w:val="24"/>
          <w:szCs w:val="24"/>
        </w:rPr>
        <w:t>W 2014 na przedsięwzięcia</w:t>
      </w:r>
      <w:r>
        <w:rPr>
          <w:rFonts w:ascii="Times New Roman" w:hAnsi="Times New Roman" w:cs="Times New Roman"/>
          <w:sz w:val="24"/>
          <w:szCs w:val="24"/>
        </w:rPr>
        <w:t xml:space="preserve"> objęte Wieloletnią Prognozą Finansową </w:t>
      </w:r>
      <w:r w:rsidRPr="0055720F">
        <w:rPr>
          <w:rFonts w:ascii="Times New Roman" w:hAnsi="Times New Roman" w:cs="Times New Roman"/>
          <w:sz w:val="24"/>
          <w:szCs w:val="24"/>
        </w:rPr>
        <w:t xml:space="preserve"> przeznaczono</w:t>
      </w:r>
      <w:r>
        <w:rPr>
          <w:rFonts w:ascii="Times New Roman" w:hAnsi="Times New Roman" w:cs="Times New Roman"/>
          <w:sz w:val="24"/>
          <w:szCs w:val="24"/>
        </w:rPr>
        <w:t xml:space="preserve"> kwotę </w:t>
      </w:r>
      <w:r w:rsidR="00C17EAF">
        <w:rPr>
          <w:rFonts w:ascii="Times New Roman" w:hAnsi="Times New Roman" w:cs="Times New Roman"/>
          <w:sz w:val="24"/>
          <w:szCs w:val="24"/>
        </w:rPr>
        <w:t>10 066</w:t>
      </w:r>
      <w:r>
        <w:rPr>
          <w:rFonts w:ascii="Times New Roman" w:hAnsi="Times New Roman" w:cs="Times New Roman"/>
          <w:sz w:val="24"/>
          <w:szCs w:val="24"/>
        </w:rPr>
        <w:t> 671 zł.</w:t>
      </w:r>
      <w:r w:rsidRPr="00557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tego na wydatki majątkowe </w:t>
      </w:r>
      <w:r w:rsidR="00C17EAF">
        <w:rPr>
          <w:rFonts w:ascii="Times New Roman" w:hAnsi="Times New Roman" w:cs="Times New Roman"/>
          <w:sz w:val="24"/>
          <w:szCs w:val="24"/>
        </w:rPr>
        <w:t>10 066</w:t>
      </w:r>
      <w:r>
        <w:rPr>
          <w:rFonts w:ascii="Times New Roman" w:hAnsi="Times New Roman" w:cs="Times New Roman"/>
          <w:sz w:val="24"/>
          <w:szCs w:val="24"/>
        </w:rPr>
        <w:t> 671 zł.</w:t>
      </w:r>
    </w:p>
    <w:p w:rsidR="00BD6723" w:rsidRPr="00D306BC" w:rsidRDefault="0055720F" w:rsidP="00D306B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6BC">
        <w:rPr>
          <w:rFonts w:ascii="Times New Roman" w:hAnsi="Times New Roman" w:cs="Times New Roman"/>
          <w:sz w:val="24"/>
          <w:szCs w:val="24"/>
        </w:rPr>
        <w:t>Wykaz realizowanych i planowanych do realizacji przedsięwzięć wieloletnich zawiera załącznik nr 2 do projektu uchwały. Limit zobowiązań  dla przedsięwzięć wieloletnich określono jako suma wydatków przewidzianych do realizacji poszczególnych zadań począwszy od 2014 roku do końca okresu realizacji zadań.</w:t>
      </w:r>
      <w:r w:rsidR="00D306BC" w:rsidRPr="00D306BC">
        <w:rPr>
          <w:rFonts w:ascii="Times New Roman" w:hAnsi="Times New Roman" w:cs="Times New Roman"/>
          <w:sz w:val="24"/>
          <w:szCs w:val="24"/>
        </w:rPr>
        <w:t>. zachowując ciągłość przedsięwzięć wieloletnich uwzględniono również</w:t>
      </w:r>
      <w:r w:rsidR="00D306BC">
        <w:rPr>
          <w:rFonts w:ascii="Times New Roman" w:hAnsi="Times New Roman" w:cs="Times New Roman"/>
          <w:sz w:val="24"/>
          <w:szCs w:val="24"/>
        </w:rPr>
        <w:t xml:space="preserve"> zadania, które w latach poprzednich posiadały status przedsięwzięcia wieloletniego a okres realizacji kończy się w roku 2014.           W tym przypadku nie określono limitu zobowiązań dla tych zadań</w:t>
      </w:r>
      <w:r w:rsidR="007F479F">
        <w:rPr>
          <w:rFonts w:ascii="Times New Roman" w:hAnsi="Times New Roman" w:cs="Times New Roman"/>
          <w:sz w:val="24"/>
          <w:szCs w:val="24"/>
        </w:rPr>
        <w:t>.</w:t>
      </w:r>
    </w:p>
    <w:p w:rsidR="00BD6723" w:rsidRPr="00D306BC" w:rsidRDefault="00BD6723" w:rsidP="009831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6723" w:rsidRDefault="00BD6723" w:rsidP="00983181">
      <w:pPr>
        <w:spacing w:line="360" w:lineRule="auto"/>
        <w:rPr>
          <w:rFonts w:ascii="Times New Roman" w:hAnsi="Times New Roman" w:cs="Times New Roman"/>
        </w:rPr>
      </w:pPr>
    </w:p>
    <w:p w:rsidR="00BD6723" w:rsidRDefault="00BD6723" w:rsidP="00983181">
      <w:pPr>
        <w:spacing w:line="360" w:lineRule="auto"/>
        <w:rPr>
          <w:rFonts w:ascii="Times New Roman" w:hAnsi="Times New Roman" w:cs="Times New Roman"/>
        </w:rPr>
      </w:pPr>
    </w:p>
    <w:p w:rsidR="00BD6723" w:rsidRDefault="00BD6723" w:rsidP="00983181">
      <w:pPr>
        <w:spacing w:line="360" w:lineRule="auto"/>
        <w:rPr>
          <w:rFonts w:ascii="Times New Roman" w:hAnsi="Times New Roman" w:cs="Times New Roman"/>
        </w:rPr>
      </w:pPr>
    </w:p>
    <w:p w:rsidR="00A44B85" w:rsidRDefault="00A44B85" w:rsidP="00983181">
      <w:pPr>
        <w:spacing w:line="360" w:lineRule="auto"/>
        <w:rPr>
          <w:rFonts w:ascii="Times New Roman" w:hAnsi="Times New Roman" w:cs="Times New Roman"/>
        </w:rPr>
      </w:pPr>
    </w:p>
    <w:p w:rsidR="00A44B85" w:rsidRDefault="00A44B85" w:rsidP="00983181">
      <w:pPr>
        <w:spacing w:line="360" w:lineRule="auto"/>
        <w:rPr>
          <w:rFonts w:ascii="Times New Roman" w:hAnsi="Times New Roman" w:cs="Times New Roman"/>
        </w:rPr>
      </w:pPr>
    </w:p>
    <w:p w:rsidR="00A44B85" w:rsidRDefault="00A44B85" w:rsidP="00983181">
      <w:pPr>
        <w:spacing w:line="360" w:lineRule="auto"/>
        <w:rPr>
          <w:rFonts w:ascii="Times New Roman" w:hAnsi="Times New Roman" w:cs="Times New Roman"/>
        </w:rPr>
      </w:pPr>
    </w:p>
    <w:p w:rsidR="00A44B85" w:rsidRDefault="00A44B85" w:rsidP="00983181">
      <w:pPr>
        <w:spacing w:line="360" w:lineRule="auto"/>
        <w:rPr>
          <w:rFonts w:ascii="Times New Roman" w:hAnsi="Times New Roman" w:cs="Times New Roman"/>
        </w:rPr>
      </w:pPr>
    </w:p>
    <w:p w:rsidR="00A44B85" w:rsidRDefault="00A44B85" w:rsidP="00983181">
      <w:pPr>
        <w:spacing w:line="360" w:lineRule="auto"/>
        <w:rPr>
          <w:rFonts w:ascii="Times New Roman" w:hAnsi="Times New Roman" w:cs="Times New Roman"/>
        </w:rPr>
      </w:pPr>
    </w:p>
    <w:p w:rsidR="00A44B85" w:rsidRDefault="00A44B85" w:rsidP="00983181">
      <w:pPr>
        <w:spacing w:line="360" w:lineRule="auto"/>
        <w:rPr>
          <w:rFonts w:ascii="Times New Roman" w:hAnsi="Times New Roman" w:cs="Times New Roman"/>
        </w:rPr>
      </w:pPr>
    </w:p>
    <w:p w:rsidR="00A44B85" w:rsidRDefault="00A44B85" w:rsidP="00983181">
      <w:pPr>
        <w:spacing w:line="360" w:lineRule="auto"/>
        <w:rPr>
          <w:rFonts w:ascii="Times New Roman" w:hAnsi="Times New Roman" w:cs="Times New Roman"/>
        </w:rPr>
      </w:pPr>
    </w:p>
    <w:p w:rsidR="00A44B85" w:rsidRDefault="00A44B85" w:rsidP="00983181">
      <w:pPr>
        <w:spacing w:line="360" w:lineRule="auto"/>
        <w:rPr>
          <w:rFonts w:ascii="Times New Roman" w:hAnsi="Times New Roman" w:cs="Times New Roman"/>
        </w:rPr>
      </w:pPr>
    </w:p>
    <w:p w:rsidR="00A44B85" w:rsidRDefault="00A44B85" w:rsidP="00983181">
      <w:pPr>
        <w:spacing w:line="360" w:lineRule="auto"/>
        <w:rPr>
          <w:rFonts w:ascii="Times New Roman" w:hAnsi="Times New Roman" w:cs="Times New Roman"/>
        </w:rPr>
      </w:pPr>
    </w:p>
    <w:p w:rsidR="00A44B85" w:rsidRDefault="00A44B85" w:rsidP="00983181">
      <w:pPr>
        <w:spacing w:line="360" w:lineRule="auto"/>
        <w:rPr>
          <w:rFonts w:ascii="Times New Roman" w:hAnsi="Times New Roman" w:cs="Times New Roman"/>
        </w:rPr>
      </w:pPr>
    </w:p>
    <w:p w:rsidR="00A44B85" w:rsidRDefault="00A44B85" w:rsidP="00983181">
      <w:pPr>
        <w:spacing w:line="360" w:lineRule="auto"/>
        <w:rPr>
          <w:rFonts w:ascii="Times New Roman" w:hAnsi="Times New Roman" w:cs="Times New Roman"/>
        </w:rPr>
      </w:pPr>
    </w:p>
    <w:p w:rsidR="00A44B85" w:rsidRDefault="00A44B85" w:rsidP="00983181">
      <w:pPr>
        <w:spacing w:line="360" w:lineRule="auto"/>
        <w:rPr>
          <w:rFonts w:ascii="Times New Roman" w:hAnsi="Times New Roman" w:cs="Times New Roman"/>
        </w:rPr>
      </w:pPr>
    </w:p>
    <w:p w:rsidR="00A44B85" w:rsidRDefault="00A44B85" w:rsidP="00983181">
      <w:pPr>
        <w:spacing w:line="360" w:lineRule="auto"/>
        <w:rPr>
          <w:rFonts w:ascii="Times New Roman" w:hAnsi="Times New Roman" w:cs="Times New Roman"/>
        </w:rPr>
      </w:pPr>
    </w:p>
    <w:p w:rsidR="00A44B85" w:rsidRDefault="00A44B85" w:rsidP="00983181">
      <w:pPr>
        <w:spacing w:line="360" w:lineRule="auto"/>
        <w:rPr>
          <w:rFonts w:ascii="Times New Roman" w:hAnsi="Times New Roman" w:cs="Times New Roman"/>
        </w:rPr>
      </w:pPr>
    </w:p>
    <w:p w:rsidR="00A44B85" w:rsidRDefault="00A44B85" w:rsidP="00983181">
      <w:pPr>
        <w:spacing w:line="360" w:lineRule="auto"/>
        <w:rPr>
          <w:rFonts w:ascii="Times New Roman" w:hAnsi="Times New Roman" w:cs="Times New Roman"/>
        </w:rPr>
      </w:pPr>
    </w:p>
    <w:p w:rsidR="00A44B85" w:rsidRDefault="00A44B85" w:rsidP="00983181">
      <w:pPr>
        <w:spacing w:line="360" w:lineRule="auto"/>
        <w:rPr>
          <w:rFonts w:ascii="Times New Roman" w:hAnsi="Times New Roman" w:cs="Times New Roman"/>
        </w:rPr>
      </w:pPr>
    </w:p>
    <w:p w:rsidR="00BD6723" w:rsidRPr="0091226A" w:rsidRDefault="00BD6723" w:rsidP="00983181">
      <w:pPr>
        <w:spacing w:line="360" w:lineRule="auto"/>
        <w:rPr>
          <w:rFonts w:ascii="Times New Roman" w:hAnsi="Times New Roman" w:cs="Times New Roman"/>
        </w:rPr>
      </w:pPr>
    </w:p>
    <w:sectPr w:rsidR="00BD6723" w:rsidRPr="0091226A" w:rsidSect="00907240">
      <w:pgSz w:w="11906" w:h="16838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9BC" w:rsidRDefault="00E639BC" w:rsidP="001063B2">
      <w:pPr>
        <w:spacing w:after="0" w:line="240" w:lineRule="auto"/>
      </w:pPr>
      <w:r>
        <w:separator/>
      </w:r>
    </w:p>
  </w:endnote>
  <w:endnote w:type="continuationSeparator" w:id="0">
    <w:p w:rsidR="00E639BC" w:rsidRDefault="00E639BC" w:rsidP="0010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9BC" w:rsidRDefault="00E639BC" w:rsidP="001063B2">
      <w:pPr>
        <w:spacing w:after="0" w:line="240" w:lineRule="auto"/>
      </w:pPr>
      <w:r>
        <w:separator/>
      </w:r>
    </w:p>
  </w:footnote>
  <w:footnote w:type="continuationSeparator" w:id="0">
    <w:p w:rsidR="00E639BC" w:rsidRDefault="00E639BC" w:rsidP="00106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20E7"/>
    <w:multiLevelType w:val="singleLevel"/>
    <w:tmpl w:val="5CE400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A782BB8"/>
    <w:multiLevelType w:val="hybridMultilevel"/>
    <w:tmpl w:val="A6A0CA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35FE7"/>
    <w:multiLevelType w:val="hybridMultilevel"/>
    <w:tmpl w:val="DC4E3556"/>
    <w:lvl w:ilvl="0" w:tplc="1D9C4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24A22"/>
    <w:multiLevelType w:val="hybridMultilevel"/>
    <w:tmpl w:val="593480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DF77B2"/>
    <w:multiLevelType w:val="hybridMultilevel"/>
    <w:tmpl w:val="87C65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902D6"/>
    <w:multiLevelType w:val="hybridMultilevel"/>
    <w:tmpl w:val="D0A02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730F3"/>
    <w:multiLevelType w:val="hybridMultilevel"/>
    <w:tmpl w:val="33AEE7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22A3C"/>
    <w:multiLevelType w:val="hybridMultilevel"/>
    <w:tmpl w:val="ECE24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33823"/>
    <w:multiLevelType w:val="hybridMultilevel"/>
    <w:tmpl w:val="AE00C8B8"/>
    <w:lvl w:ilvl="0" w:tplc="F8F205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C135C"/>
    <w:multiLevelType w:val="hybridMultilevel"/>
    <w:tmpl w:val="B17C69A4"/>
    <w:lvl w:ilvl="0" w:tplc="1D9C4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C32FE8"/>
    <w:multiLevelType w:val="hybridMultilevel"/>
    <w:tmpl w:val="47E46A0E"/>
    <w:lvl w:ilvl="0" w:tplc="A736470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91273"/>
    <w:multiLevelType w:val="hybridMultilevel"/>
    <w:tmpl w:val="E976DFF2"/>
    <w:lvl w:ilvl="0" w:tplc="1D9C4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B245A"/>
    <w:multiLevelType w:val="hybridMultilevel"/>
    <w:tmpl w:val="E36AE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27488"/>
    <w:multiLevelType w:val="hybridMultilevel"/>
    <w:tmpl w:val="97A8B84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13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1226A"/>
    <w:rsid w:val="0000391A"/>
    <w:rsid w:val="00021B17"/>
    <w:rsid w:val="00030772"/>
    <w:rsid w:val="000453E8"/>
    <w:rsid w:val="00050FC6"/>
    <w:rsid w:val="00052575"/>
    <w:rsid w:val="00062A11"/>
    <w:rsid w:val="000815DA"/>
    <w:rsid w:val="000A15A4"/>
    <w:rsid w:val="000A6562"/>
    <w:rsid w:val="000D5F25"/>
    <w:rsid w:val="00105899"/>
    <w:rsid w:val="001063B2"/>
    <w:rsid w:val="00162AA8"/>
    <w:rsid w:val="00186F94"/>
    <w:rsid w:val="001B0986"/>
    <w:rsid w:val="001C0CA6"/>
    <w:rsid w:val="001C2E8D"/>
    <w:rsid w:val="001F3619"/>
    <w:rsid w:val="001F708D"/>
    <w:rsid w:val="00207B1F"/>
    <w:rsid w:val="0022170D"/>
    <w:rsid w:val="00225735"/>
    <w:rsid w:val="002872F8"/>
    <w:rsid w:val="00291238"/>
    <w:rsid w:val="002A0705"/>
    <w:rsid w:val="002E3D34"/>
    <w:rsid w:val="0030200F"/>
    <w:rsid w:val="003061D8"/>
    <w:rsid w:val="00346BCA"/>
    <w:rsid w:val="00393DCA"/>
    <w:rsid w:val="003B769E"/>
    <w:rsid w:val="003D4D87"/>
    <w:rsid w:val="003E3516"/>
    <w:rsid w:val="003F6395"/>
    <w:rsid w:val="00421B37"/>
    <w:rsid w:val="0043705D"/>
    <w:rsid w:val="0044144F"/>
    <w:rsid w:val="00474006"/>
    <w:rsid w:val="0048090F"/>
    <w:rsid w:val="004D5A97"/>
    <w:rsid w:val="0050241C"/>
    <w:rsid w:val="00515406"/>
    <w:rsid w:val="00546475"/>
    <w:rsid w:val="0055720F"/>
    <w:rsid w:val="005667DF"/>
    <w:rsid w:val="00582733"/>
    <w:rsid w:val="005C3C0C"/>
    <w:rsid w:val="005C4B4D"/>
    <w:rsid w:val="005D2C49"/>
    <w:rsid w:val="00606BE0"/>
    <w:rsid w:val="00622360"/>
    <w:rsid w:val="00647BC9"/>
    <w:rsid w:val="006865DE"/>
    <w:rsid w:val="0069165F"/>
    <w:rsid w:val="00693454"/>
    <w:rsid w:val="006979EB"/>
    <w:rsid w:val="006A1270"/>
    <w:rsid w:val="006A6224"/>
    <w:rsid w:val="00727E1F"/>
    <w:rsid w:val="00730EB6"/>
    <w:rsid w:val="00741D7A"/>
    <w:rsid w:val="0074480C"/>
    <w:rsid w:val="00747921"/>
    <w:rsid w:val="00754E73"/>
    <w:rsid w:val="00761B13"/>
    <w:rsid w:val="00773F6D"/>
    <w:rsid w:val="00784C07"/>
    <w:rsid w:val="00787AB3"/>
    <w:rsid w:val="007955D4"/>
    <w:rsid w:val="007A583E"/>
    <w:rsid w:val="007C4C6B"/>
    <w:rsid w:val="007F479F"/>
    <w:rsid w:val="00817C35"/>
    <w:rsid w:val="008235FF"/>
    <w:rsid w:val="0084455E"/>
    <w:rsid w:val="008671B7"/>
    <w:rsid w:val="00870DB3"/>
    <w:rsid w:val="00874C4D"/>
    <w:rsid w:val="00877FF6"/>
    <w:rsid w:val="008A0599"/>
    <w:rsid w:val="008E1579"/>
    <w:rsid w:val="00907240"/>
    <w:rsid w:val="0091226A"/>
    <w:rsid w:val="00945EFA"/>
    <w:rsid w:val="00945FB6"/>
    <w:rsid w:val="00950186"/>
    <w:rsid w:val="009563DE"/>
    <w:rsid w:val="00983181"/>
    <w:rsid w:val="009959E5"/>
    <w:rsid w:val="00997BD9"/>
    <w:rsid w:val="009C79FE"/>
    <w:rsid w:val="00A44B85"/>
    <w:rsid w:val="00A44E1D"/>
    <w:rsid w:val="00A45F20"/>
    <w:rsid w:val="00A50317"/>
    <w:rsid w:val="00A57E45"/>
    <w:rsid w:val="00A67C8F"/>
    <w:rsid w:val="00A93596"/>
    <w:rsid w:val="00AA5EDB"/>
    <w:rsid w:val="00AF5AB5"/>
    <w:rsid w:val="00B04533"/>
    <w:rsid w:val="00B36B6A"/>
    <w:rsid w:val="00B40247"/>
    <w:rsid w:val="00B56CD0"/>
    <w:rsid w:val="00B96224"/>
    <w:rsid w:val="00BB4FC5"/>
    <w:rsid w:val="00BD6723"/>
    <w:rsid w:val="00BF0ACF"/>
    <w:rsid w:val="00C03577"/>
    <w:rsid w:val="00C15378"/>
    <w:rsid w:val="00C15567"/>
    <w:rsid w:val="00C17EAF"/>
    <w:rsid w:val="00C30FF0"/>
    <w:rsid w:val="00C475CD"/>
    <w:rsid w:val="00C76B55"/>
    <w:rsid w:val="00CA234F"/>
    <w:rsid w:val="00CC1649"/>
    <w:rsid w:val="00CF2BC9"/>
    <w:rsid w:val="00D00C28"/>
    <w:rsid w:val="00D01767"/>
    <w:rsid w:val="00D03EFA"/>
    <w:rsid w:val="00D0797D"/>
    <w:rsid w:val="00D306BC"/>
    <w:rsid w:val="00D97304"/>
    <w:rsid w:val="00DA0BB4"/>
    <w:rsid w:val="00DA3D91"/>
    <w:rsid w:val="00DB3BBE"/>
    <w:rsid w:val="00DB47D7"/>
    <w:rsid w:val="00DB606C"/>
    <w:rsid w:val="00DC0BAD"/>
    <w:rsid w:val="00DF78FB"/>
    <w:rsid w:val="00E038BA"/>
    <w:rsid w:val="00E131AB"/>
    <w:rsid w:val="00E3092D"/>
    <w:rsid w:val="00E37550"/>
    <w:rsid w:val="00E43DB1"/>
    <w:rsid w:val="00E639BC"/>
    <w:rsid w:val="00E658AC"/>
    <w:rsid w:val="00E76E2A"/>
    <w:rsid w:val="00E810B5"/>
    <w:rsid w:val="00E9123F"/>
    <w:rsid w:val="00EB492F"/>
    <w:rsid w:val="00EE1DDB"/>
    <w:rsid w:val="00EE3A3C"/>
    <w:rsid w:val="00F16E4C"/>
    <w:rsid w:val="00F17CA8"/>
    <w:rsid w:val="00F40B0A"/>
    <w:rsid w:val="00F46793"/>
    <w:rsid w:val="00F55974"/>
    <w:rsid w:val="00F97C0A"/>
    <w:rsid w:val="00FA0DDB"/>
    <w:rsid w:val="00FA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360"/>
  </w:style>
  <w:style w:type="paragraph" w:styleId="Nagwek3">
    <w:name w:val="heading 3"/>
    <w:basedOn w:val="Normalny"/>
    <w:next w:val="Normalny"/>
    <w:link w:val="Nagwek3Znak"/>
    <w:qFormat/>
    <w:rsid w:val="0091226A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1226A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91226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22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9831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983181"/>
    <w:rPr>
      <w:rFonts w:ascii="Times New Roman" w:eastAsia="Times New Roman" w:hAnsi="Times New Roman" w:cs="Times New Roman"/>
      <w:b/>
      <w:sz w:val="24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106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63B2"/>
  </w:style>
  <w:style w:type="paragraph" w:styleId="Stopka">
    <w:name w:val="footer"/>
    <w:basedOn w:val="Normalny"/>
    <w:link w:val="StopkaZnak"/>
    <w:uiPriority w:val="99"/>
    <w:unhideWhenUsed/>
    <w:rsid w:val="00106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3B2"/>
  </w:style>
  <w:style w:type="table" w:styleId="Tabela-Siatka">
    <w:name w:val="Table Grid"/>
    <w:basedOn w:val="Standardowy"/>
    <w:uiPriority w:val="59"/>
    <w:rsid w:val="008E1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8376C-13E2-4189-BBB7-5347425C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10</Pages>
  <Words>2714</Words>
  <Characters>16288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18965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Bator</dc:creator>
  <cp:keywords/>
  <dc:description/>
  <cp:lastModifiedBy>Ewa Bator</cp:lastModifiedBy>
  <cp:revision>63</cp:revision>
  <cp:lastPrinted>2013-11-15T08:06:00Z</cp:lastPrinted>
  <dcterms:created xsi:type="dcterms:W3CDTF">2010-11-12T10:33:00Z</dcterms:created>
  <dcterms:modified xsi:type="dcterms:W3CDTF">2013-11-15T12:12:00Z</dcterms:modified>
</cp:coreProperties>
</file>